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7D" w:rsidRDefault="00AC027D" w:rsidP="00AC027D">
      <w:pPr>
        <w:spacing w:after="0"/>
        <w:jc w:val="both"/>
        <w:rPr>
          <w:sz w:val="24"/>
          <w:szCs w:val="24"/>
        </w:rPr>
      </w:pPr>
      <w:r>
        <w:rPr>
          <w:sz w:val="24"/>
          <w:szCs w:val="24"/>
        </w:rPr>
        <w:t>Mes très chers et très chères élèves,</w:t>
      </w:r>
    </w:p>
    <w:p w:rsidR="00AC027D" w:rsidRDefault="00AC027D" w:rsidP="00AC027D">
      <w:pPr>
        <w:spacing w:after="0"/>
        <w:jc w:val="both"/>
        <w:rPr>
          <w:sz w:val="24"/>
          <w:szCs w:val="24"/>
        </w:rPr>
      </w:pPr>
    </w:p>
    <w:p w:rsidR="00AC027D" w:rsidRDefault="00AC027D" w:rsidP="00AC027D">
      <w:pPr>
        <w:spacing w:after="0"/>
        <w:jc w:val="both"/>
        <w:rPr>
          <w:sz w:val="24"/>
          <w:szCs w:val="24"/>
        </w:rPr>
      </w:pPr>
    </w:p>
    <w:p w:rsidR="00AC027D" w:rsidRDefault="00AC027D" w:rsidP="00AC027D">
      <w:pPr>
        <w:spacing w:after="0"/>
        <w:jc w:val="both"/>
        <w:rPr>
          <w:sz w:val="24"/>
          <w:szCs w:val="24"/>
        </w:rPr>
      </w:pPr>
      <w:r>
        <w:rPr>
          <w:sz w:val="24"/>
          <w:szCs w:val="24"/>
        </w:rPr>
        <w:t xml:space="preserve">Avant tout chose, j’espère que vous et vos familles vous portez bien. </w:t>
      </w:r>
    </w:p>
    <w:p w:rsidR="00AC027D" w:rsidRDefault="00AC027D" w:rsidP="00AC027D">
      <w:pPr>
        <w:spacing w:after="0"/>
        <w:jc w:val="both"/>
        <w:rPr>
          <w:sz w:val="24"/>
          <w:szCs w:val="24"/>
        </w:rPr>
      </w:pPr>
    </w:p>
    <w:p w:rsidR="00AC027D" w:rsidRDefault="00AC027D" w:rsidP="00AC027D">
      <w:pPr>
        <w:spacing w:after="0"/>
        <w:jc w:val="both"/>
        <w:rPr>
          <w:sz w:val="24"/>
          <w:szCs w:val="24"/>
        </w:rPr>
      </w:pPr>
      <w:r>
        <w:rPr>
          <w:sz w:val="24"/>
          <w:szCs w:val="24"/>
        </w:rPr>
        <w:t xml:space="preserve">Et non, je ne vous oublie pas ! </w:t>
      </w:r>
    </w:p>
    <w:p w:rsidR="00AC027D" w:rsidRDefault="00AC027D" w:rsidP="00AC027D">
      <w:pPr>
        <w:spacing w:after="0"/>
        <w:jc w:val="both"/>
        <w:rPr>
          <w:sz w:val="24"/>
          <w:szCs w:val="24"/>
        </w:rPr>
      </w:pPr>
    </w:p>
    <w:p w:rsidR="00AC027D" w:rsidRDefault="00AC027D" w:rsidP="00AC027D">
      <w:pPr>
        <w:spacing w:after="0"/>
        <w:jc w:val="both"/>
        <w:rPr>
          <w:sz w:val="24"/>
          <w:szCs w:val="24"/>
        </w:rPr>
      </w:pPr>
      <w:r>
        <w:rPr>
          <w:sz w:val="24"/>
          <w:szCs w:val="24"/>
        </w:rPr>
        <w:t xml:space="preserve">Vous trouverez dans les pages suivantes les </w:t>
      </w:r>
      <w:r w:rsidRPr="00AC027D">
        <w:rPr>
          <w:sz w:val="24"/>
          <w:szCs w:val="24"/>
          <w:u w:val="single"/>
        </w:rPr>
        <w:t>corrigés</w:t>
      </w:r>
      <w:r w:rsidRPr="00AC027D">
        <w:rPr>
          <w:sz w:val="24"/>
          <w:szCs w:val="24"/>
        </w:rPr>
        <w:t xml:space="preserve"> </w:t>
      </w:r>
      <w:r>
        <w:rPr>
          <w:sz w:val="24"/>
          <w:szCs w:val="24"/>
        </w:rPr>
        <w:t xml:space="preserve">de la suite du cours dont vous disposez déjà. </w:t>
      </w:r>
      <w:r w:rsidRPr="00AC027D">
        <w:rPr>
          <w:sz w:val="24"/>
          <w:szCs w:val="24"/>
          <w:u w:val="single"/>
        </w:rPr>
        <w:t>Je vous invite donc à travailler la géographie quelque peu</w:t>
      </w:r>
      <w:r>
        <w:rPr>
          <w:sz w:val="24"/>
          <w:szCs w:val="24"/>
        </w:rPr>
        <w:t xml:space="preserve">. </w:t>
      </w:r>
    </w:p>
    <w:p w:rsidR="00AC027D" w:rsidRDefault="00AC027D" w:rsidP="00AC027D">
      <w:pPr>
        <w:spacing w:after="0"/>
        <w:jc w:val="both"/>
        <w:rPr>
          <w:sz w:val="24"/>
          <w:szCs w:val="24"/>
        </w:rPr>
      </w:pPr>
    </w:p>
    <w:p w:rsidR="00AC027D" w:rsidRDefault="00AC027D" w:rsidP="00AC027D">
      <w:pPr>
        <w:spacing w:after="0"/>
        <w:jc w:val="both"/>
        <w:rPr>
          <w:sz w:val="24"/>
          <w:szCs w:val="24"/>
        </w:rPr>
      </w:pPr>
      <w:r>
        <w:rPr>
          <w:sz w:val="24"/>
          <w:szCs w:val="24"/>
          <w:u w:val="single"/>
        </w:rPr>
        <w:t>Je reste à votre disposition</w:t>
      </w:r>
      <w:r>
        <w:rPr>
          <w:sz w:val="24"/>
          <w:szCs w:val="24"/>
        </w:rPr>
        <w:t xml:space="preserve"> via mon adresse email suivante : </w:t>
      </w:r>
      <w:hyperlink r:id="rId5" w:history="1">
        <w:r>
          <w:rPr>
            <w:rStyle w:val="Lienhypertexte"/>
            <w:sz w:val="24"/>
            <w:szCs w:val="24"/>
          </w:rPr>
          <w:t>monsieur.jriri@hotmail.com</w:t>
        </w:r>
      </w:hyperlink>
      <w:r>
        <w:rPr>
          <w:sz w:val="24"/>
          <w:szCs w:val="24"/>
        </w:rPr>
        <w:t xml:space="preserve"> </w:t>
      </w:r>
    </w:p>
    <w:p w:rsidR="00AC027D" w:rsidRDefault="00AC027D" w:rsidP="00AC027D">
      <w:pPr>
        <w:spacing w:after="0"/>
        <w:jc w:val="both"/>
        <w:rPr>
          <w:sz w:val="24"/>
          <w:szCs w:val="24"/>
        </w:rPr>
      </w:pPr>
    </w:p>
    <w:p w:rsidR="00AC027D" w:rsidRDefault="00AC027D" w:rsidP="00AC027D">
      <w:pPr>
        <w:spacing w:after="0"/>
        <w:jc w:val="both"/>
        <w:rPr>
          <w:sz w:val="24"/>
          <w:szCs w:val="24"/>
        </w:rPr>
      </w:pPr>
    </w:p>
    <w:p w:rsidR="00AC027D" w:rsidRDefault="00AC027D" w:rsidP="00AC027D">
      <w:pPr>
        <w:spacing w:after="0"/>
        <w:jc w:val="both"/>
        <w:rPr>
          <w:sz w:val="24"/>
          <w:szCs w:val="24"/>
        </w:rPr>
      </w:pPr>
      <w:r>
        <w:rPr>
          <w:sz w:val="24"/>
          <w:szCs w:val="24"/>
        </w:rPr>
        <w:t>Bon travail !</w:t>
      </w:r>
    </w:p>
    <w:p w:rsidR="00AC027D" w:rsidRDefault="00AC027D" w:rsidP="00AC027D">
      <w:pPr>
        <w:spacing w:after="0"/>
        <w:jc w:val="both"/>
        <w:rPr>
          <w:sz w:val="24"/>
          <w:szCs w:val="24"/>
        </w:rPr>
      </w:pPr>
    </w:p>
    <w:p w:rsidR="00AC027D" w:rsidRDefault="00AC027D" w:rsidP="00AC027D">
      <w:pPr>
        <w:spacing w:after="0"/>
        <w:jc w:val="both"/>
        <w:rPr>
          <w:sz w:val="24"/>
          <w:szCs w:val="24"/>
        </w:rPr>
      </w:pPr>
    </w:p>
    <w:p w:rsidR="00AC027D" w:rsidRDefault="00AC027D" w:rsidP="00AC027D">
      <w:pPr>
        <w:spacing w:after="0"/>
        <w:jc w:val="both"/>
        <w:rPr>
          <w:sz w:val="24"/>
          <w:szCs w:val="24"/>
        </w:rPr>
      </w:pPr>
      <w:r>
        <w:rPr>
          <w:sz w:val="24"/>
          <w:szCs w:val="24"/>
        </w:rPr>
        <w:t xml:space="preserve">JRIRI Yassine </w:t>
      </w:r>
    </w:p>
    <w:p w:rsidR="00AC027D" w:rsidRDefault="00AC027D" w:rsidP="00AC027D">
      <w:pPr>
        <w:spacing w:after="0"/>
        <w:jc w:val="both"/>
        <w:rPr>
          <w:sz w:val="24"/>
          <w:szCs w:val="24"/>
        </w:rPr>
      </w:pPr>
    </w:p>
    <w:p w:rsidR="00AA6A3E" w:rsidRDefault="00AA6A3E"/>
    <w:p w:rsidR="00AC027D" w:rsidRDefault="00AC027D"/>
    <w:p w:rsidR="00AC027D" w:rsidRDefault="00AC027D"/>
    <w:p w:rsidR="00AC027D" w:rsidRDefault="00AC027D"/>
    <w:p w:rsidR="00AC027D" w:rsidRDefault="00AC027D"/>
    <w:p w:rsidR="00AC027D" w:rsidRDefault="00AC027D"/>
    <w:p w:rsidR="00AC027D" w:rsidRDefault="00AC027D"/>
    <w:p w:rsidR="00AC027D" w:rsidRDefault="00AC027D"/>
    <w:p w:rsidR="00AC027D" w:rsidRDefault="00AC027D"/>
    <w:p w:rsidR="00AC027D" w:rsidRDefault="00AC027D"/>
    <w:p w:rsidR="00AC027D" w:rsidRDefault="00AC027D"/>
    <w:p w:rsidR="00AC027D" w:rsidRDefault="00AC027D"/>
    <w:p w:rsidR="00AC027D" w:rsidRDefault="00AC027D"/>
    <w:p w:rsidR="00AC027D" w:rsidRDefault="00AC027D"/>
    <w:p w:rsidR="00AC027D" w:rsidRDefault="00AC027D"/>
    <w:p w:rsidR="00AC027D" w:rsidRDefault="00AC027D"/>
    <w:p w:rsidR="0033374D" w:rsidRDefault="0033374D"/>
    <w:p w:rsidR="0033374D" w:rsidRDefault="0033374D"/>
    <w:p w:rsidR="00AC027D" w:rsidRDefault="00AC027D"/>
    <w:p w:rsidR="003D6591" w:rsidRPr="00CE1B4F" w:rsidRDefault="003D6591" w:rsidP="003D6591">
      <w:pPr>
        <w:spacing w:after="0"/>
        <w:jc w:val="both"/>
        <w:rPr>
          <w:b/>
          <w:color w:val="FF0000"/>
          <w:sz w:val="24"/>
          <w:szCs w:val="24"/>
        </w:rPr>
      </w:pPr>
      <w:r w:rsidRPr="00CE1B4F">
        <w:rPr>
          <w:b/>
          <w:color w:val="FF0000"/>
          <w:sz w:val="24"/>
          <w:szCs w:val="24"/>
        </w:rPr>
        <w:lastRenderedPageBreak/>
        <w:t xml:space="preserve">Corrigé </w:t>
      </w:r>
      <w:r w:rsidR="003B56E3" w:rsidRPr="00CE1B4F">
        <w:rPr>
          <w:b/>
          <w:color w:val="FF0000"/>
          <w:sz w:val="24"/>
          <w:szCs w:val="24"/>
        </w:rPr>
        <w:t xml:space="preserve">de la </w:t>
      </w:r>
      <w:r w:rsidRPr="00CE1B4F">
        <w:rPr>
          <w:b/>
          <w:color w:val="FF0000"/>
          <w:sz w:val="24"/>
          <w:szCs w:val="24"/>
        </w:rPr>
        <w:t>page 19</w:t>
      </w:r>
      <w:r w:rsidR="003B56E3" w:rsidRPr="00CE1B4F">
        <w:rPr>
          <w:b/>
          <w:color w:val="FF0000"/>
          <w:sz w:val="24"/>
          <w:szCs w:val="24"/>
        </w:rPr>
        <w:t>, partie 1 (étude de documents)</w:t>
      </w:r>
      <w:r w:rsidRPr="00CE1B4F">
        <w:rPr>
          <w:b/>
          <w:color w:val="FF0000"/>
          <w:sz w:val="24"/>
          <w:szCs w:val="24"/>
        </w:rPr>
        <w:t xml:space="preserve"> : </w:t>
      </w:r>
    </w:p>
    <w:p w:rsidR="003D6591" w:rsidRDefault="003D6591" w:rsidP="003D6591">
      <w:pPr>
        <w:spacing w:after="0"/>
        <w:jc w:val="both"/>
        <w:rPr>
          <w:color w:val="FF0000"/>
        </w:rPr>
      </w:pPr>
    </w:p>
    <w:p w:rsidR="0016487C" w:rsidRPr="0016487C" w:rsidRDefault="0016487C" w:rsidP="0016487C">
      <w:pPr>
        <w:spacing w:after="0" w:line="259" w:lineRule="auto"/>
        <w:jc w:val="both"/>
        <w:rPr>
          <w:color w:val="FF0000"/>
          <w:sz w:val="24"/>
          <w:szCs w:val="24"/>
        </w:rPr>
      </w:pPr>
      <w:r w:rsidRPr="0016487C">
        <w:rPr>
          <w:color w:val="FF0000"/>
          <w:sz w:val="24"/>
          <w:szCs w:val="24"/>
        </w:rPr>
        <w:t xml:space="preserve">1. Dès les années 20, la politique migratoire belge se fonde sur le principe suivant : l’immigration n’est autorisée que si elle joue un rôle économique. </w:t>
      </w:r>
    </w:p>
    <w:p w:rsidR="0016487C" w:rsidRPr="0016487C" w:rsidRDefault="0016487C" w:rsidP="0016487C">
      <w:pPr>
        <w:spacing w:after="0" w:line="259" w:lineRule="auto"/>
        <w:jc w:val="both"/>
        <w:rPr>
          <w:color w:val="FF0000"/>
          <w:sz w:val="24"/>
          <w:szCs w:val="24"/>
        </w:rPr>
      </w:pPr>
    </w:p>
    <w:p w:rsidR="0016487C" w:rsidRPr="0016487C" w:rsidRDefault="0016487C" w:rsidP="0016487C">
      <w:pPr>
        <w:spacing w:after="0" w:line="259" w:lineRule="auto"/>
        <w:jc w:val="both"/>
        <w:rPr>
          <w:color w:val="FF0000"/>
          <w:sz w:val="24"/>
          <w:szCs w:val="24"/>
        </w:rPr>
      </w:pPr>
      <w:r w:rsidRPr="0016487C">
        <w:rPr>
          <w:color w:val="FF0000"/>
          <w:sz w:val="24"/>
          <w:szCs w:val="24"/>
        </w:rPr>
        <w:t xml:space="preserve">2. A partir de la fin des années 1950, la Belgique signe plusieurs accords suite à la croissance économique qui s’amplifie et suscite un grand besoin de main-d’œuvre. </w:t>
      </w:r>
    </w:p>
    <w:p w:rsidR="0016487C" w:rsidRPr="0016487C" w:rsidRDefault="0016487C" w:rsidP="0016487C">
      <w:pPr>
        <w:spacing w:after="0" w:line="259" w:lineRule="auto"/>
        <w:jc w:val="both"/>
        <w:rPr>
          <w:color w:val="FF0000"/>
          <w:sz w:val="24"/>
          <w:szCs w:val="24"/>
        </w:rPr>
      </w:pPr>
    </w:p>
    <w:p w:rsidR="0016487C" w:rsidRPr="0016487C" w:rsidRDefault="0016487C" w:rsidP="0016487C">
      <w:pPr>
        <w:spacing w:after="0" w:line="259" w:lineRule="auto"/>
        <w:jc w:val="both"/>
        <w:rPr>
          <w:rFonts w:cstheme="minorHAnsi"/>
          <w:color w:val="FF0000"/>
          <w:sz w:val="24"/>
          <w:szCs w:val="24"/>
        </w:rPr>
      </w:pPr>
      <w:r w:rsidRPr="0016487C">
        <w:rPr>
          <w:color w:val="FF0000"/>
          <w:sz w:val="24"/>
          <w:szCs w:val="24"/>
        </w:rPr>
        <w:t xml:space="preserve">3. </w:t>
      </w:r>
      <w:r w:rsidRPr="0016487C">
        <w:rPr>
          <w:rFonts w:cstheme="minorHAnsi"/>
          <w:color w:val="FF0000"/>
          <w:sz w:val="24"/>
          <w:szCs w:val="24"/>
        </w:rPr>
        <w:t xml:space="preserve">La Belgique se dirige naturellement vers le Maroc qui vit ses premières heures de nation indépendante (1956). Le jeune pays connaît beaucoup de problèmes propres à son inexpérience, comme le chômage, l’incapacité de gestion des ressources, les pénuries, … L’émigration hors du Maroc représente alors une soupape de sécurité idéale. </w:t>
      </w:r>
    </w:p>
    <w:p w:rsidR="0016487C" w:rsidRPr="0016487C" w:rsidRDefault="0016487C" w:rsidP="0016487C">
      <w:pPr>
        <w:spacing w:after="0" w:line="259" w:lineRule="auto"/>
        <w:jc w:val="both"/>
        <w:rPr>
          <w:rFonts w:cstheme="minorHAnsi"/>
          <w:color w:val="FF0000"/>
          <w:sz w:val="24"/>
          <w:szCs w:val="24"/>
        </w:rPr>
      </w:pPr>
    </w:p>
    <w:p w:rsidR="0016487C" w:rsidRPr="0016487C" w:rsidRDefault="0016487C" w:rsidP="0016487C">
      <w:pPr>
        <w:spacing w:after="0" w:line="259" w:lineRule="auto"/>
        <w:jc w:val="both"/>
        <w:rPr>
          <w:rFonts w:cstheme="minorHAnsi"/>
          <w:color w:val="FF0000"/>
          <w:sz w:val="24"/>
          <w:szCs w:val="24"/>
        </w:rPr>
      </w:pPr>
      <w:r w:rsidRPr="0016487C">
        <w:rPr>
          <w:rFonts w:cstheme="minorHAnsi"/>
          <w:color w:val="FF0000"/>
          <w:sz w:val="24"/>
          <w:szCs w:val="24"/>
        </w:rPr>
        <w:t xml:space="preserve">4. En 1974, la Belgique décide l’arrêt total de l’immigration économique pour les ressortissants hors Union européenne suite à une chute de la croissance économique (due au premier choc pétrolier mondial en 1973). </w:t>
      </w:r>
    </w:p>
    <w:p w:rsidR="0016487C" w:rsidRPr="0016487C" w:rsidRDefault="0016487C" w:rsidP="0016487C">
      <w:pPr>
        <w:spacing w:after="0" w:line="259" w:lineRule="auto"/>
        <w:jc w:val="both"/>
        <w:rPr>
          <w:rFonts w:cstheme="minorHAnsi"/>
          <w:color w:val="FF0000"/>
          <w:sz w:val="24"/>
          <w:szCs w:val="24"/>
        </w:rPr>
      </w:pPr>
    </w:p>
    <w:p w:rsidR="0016487C" w:rsidRPr="0016487C" w:rsidRDefault="0016487C" w:rsidP="0016487C">
      <w:pPr>
        <w:spacing w:after="0" w:line="259" w:lineRule="auto"/>
        <w:jc w:val="both"/>
        <w:rPr>
          <w:rFonts w:cstheme="minorHAnsi"/>
          <w:color w:val="FF0000"/>
          <w:sz w:val="24"/>
          <w:szCs w:val="24"/>
        </w:rPr>
      </w:pPr>
      <w:r w:rsidRPr="0016487C">
        <w:rPr>
          <w:rFonts w:cstheme="minorHAnsi"/>
          <w:color w:val="FF0000"/>
          <w:sz w:val="24"/>
          <w:szCs w:val="24"/>
        </w:rPr>
        <w:t xml:space="preserve">5. A partir de 1970, le gouvernement décide de mettre en place une politique encourageant le regroupement familial pour stabiliser la main-d’œuvre et contrer la baisse de la fécondité. </w:t>
      </w:r>
    </w:p>
    <w:p w:rsidR="0016487C" w:rsidRPr="0016487C" w:rsidRDefault="0016487C" w:rsidP="0016487C">
      <w:pPr>
        <w:spacing w:after="0" w:line="259" w:lineRule="auto"/>
        <w:jc w:val="both"/>
        <w:rPr>
          <w:rFonts w:cstheme="minorHAnsi"/>
          <w:color w:val="FF0000"/>
          <w:sz w:val="24"/>
          <w:szCs w:val="24"/>
        </w:rPr>
      </w:pPr>
    </w:p>
    <w:p w:rsidR="0016487C" w:rsidRPr="0016487C" w:rsidRDefault="0016487C" w:rsidP="0016487C">
      <w:pPr>
        <w:spacing w:after="0" w:line="259" w:lineRule="auto"/>
        <w:jc w:val="both"/>
        <w:rPr>
          <w:rFonts w:cstheme="minorHAnsi"/>
          <w:color w:val="FF0000"/>
          <w:sz w:val="24"/>
          <w:szCs w:val="24"/>
        </w:rPr>
      </w:pPr>
      <w:r w:rsidRPr="0016487C">
        <w:rPr>
          <w:rFonts w:cstheme="minorHAnsi"/>
          <w:color w:val="FF0000"/>
          <w:sz w:val="24"/>
          <w:szCs w:val="24"/>
        </w:rPr>
        <w:t xml:space="preserve">6. </w:t>
      </w:r>
    </w:p>
    <w:p w:rsidR="0016487C" w:rsidRPr="0016487C" w:rsidRDefault="0016487C" w:rsidP="0016487C">
      <w:pPr>
        <w:spacing w:after="0" w:line="259" w:lineRule="auto"/>
        <w:jc w:val="both"/>
        <w:rPr>
          <w:color w:val="FF0000"/>
          <w:sz w:val="24"/>
          <w:szCs w:val="24"/>
        </w:rPr>
      </w:pPr>
      <w:r w:rsidRPr="0016487C">
        <w:rPr>
          <w:color w:val="FF0000"/>
          <w:sz w:val="24"/>
          <w:szCs w:val="24"/>
        </w:rPr>
        <w:t xml:space="preserve">Le document 5 porte sur la diversité des nationalités des étrangers résidant en Belgique. </w:t>
      </w:r>
    </w:p>
    <w:p w:rsidR="0016487C" w:rsidRPr="0016487C" w:rsidRDefault="0016487C" w:rsidP="0016487C">
      <w:pPr>
        <w:spacing w:after="0" w:line="259" w:lineRule="auto"/>
        <w:jc w:val="both"/>
        <w:rPr>
          <w:color w:val="FF0000"/>
          <w:sz w:val="24"/>
          <w:szCs w:val="24"/>
        </w:rPr>
      </w:pPr>
      <w:r w:rsidRPr="0016487C">
        <w:rPr>
          <w:color w:val="FF0000"/>
          <w:sz w:val="24"/>
          <w:szCs w:val="24"/>
        </w:rPr>
        <w:t xml:space="preserve">L’Italie, suivie de la France et des Pays-Bas sont les principales nationalités des étrangers résidant en Belgique. </w:t>
      </w:r>
    </w:p>
    <w:p w:rsidR="0016487C" w:rsidRPr="0016487C" w:rsidRDefault="0016487C" w:rsidP="0016487C">
      <w:pPr>
        <w:spacing w:after="0" w:line="259" w:lineRule="auto"/>
        <w:jc w:val="both"/>
        <w:rPr>
          <w:color w:val="FF0000"/>
          <w:sz w:val="24"/>
          <w:szCs w:val="24"/>
        </w:rPr>
      </w:pPr>
    </w:p>
    <w:p w:rsidR="0016487C" w:rsidRPr="0016487C" w:rsidRDefault="0016487C" w:rsidP="0016487C">
      <w:pPr>
        <w:spacing w:after="0" w:line="259" w:lineRule="auto"/>
        <w:jc w:val="both"/>
        <w:rPr>
          <w:color w:val="FF0000"/>
          <w:sz w:val="24"/>
          <w:szCs w:val="24"/>
        </w:rPr>
      </w:pPr>
      <w:r w:rsidRPr="0016487C">
        <w:rPr>
          <w:color w:val="FF0000"/>
          <w:sz w:val="24"/>
          <w:szCs w:val="24"/>
        </w:rPr>
        <w:t>Le document 6 porte sur les catégories professionnelles des immigrés et des Belges.</w:t>
      </w:r>
    </w:p>
    <w:p w:rsidR="0016487C" w:rsidRPr="0016487C" w:rsidRDefault="0016487C" w:rsidP="0016487C">
      <w:pPr>
        <w:spacing w:after="0" w:line="259" w:lineRule="auto"/>
        <w:jc w:val="both"/>
        <w:rPr>
          <w:color w:val="FF0000"/>
          <w:sz w:val="24"/>
          <w:szCs w:val="24"/>
        </w:rPr>
      </w:pPr>
      <w:r w:rsidRPr="0016487C">
        <w:rPr>
          <w:color w:val="FF0000"/>
          <w:sz w:val="24"/>
          <w:szCs w:val="24"/>
        </w:rPr>
        <w:t xml:space="preserve">Les immigrés sont majoritaires dans le travail manuel ou à la chaîne. </w:t>
      </w:r>
    </w:p>
    <w:p w:rsidR="0016487C" w:rsidRPr="0016487C" w:rsidRDefault="0016487C" w:rsidP="0016487C">
      <w:pPr>
        <w:spacing w:after="0" w:line="259" w:lineRule="auto"/>
        <w:jc w:val="both"/>
        <w:rPr>
          <w:color w:val="FF0000"/>
          <w:sz w:val="24"/>
          <w:szCs w:val="24"/>
        </w:rPr>
      </w:pPr>
    </w:p>
    <w:p w:rsidR="0016487C" w:rsidRPr="0016487C" w:rsidRDefault="0016487C" w:rsidP="0016487C">
      <w:pPr>
        <w:spacing w:after="0" w:line="259" w:lineRule="auto"/>
        <w:jc w:val="both"/>
        <w:rPr>
          <w:color w:val="FF0000"/>
          <w:sz w:val="24"/>
          <w:szCs w:val="24"/>
        </w:rPr>
      </w:pPr>
      <w:r w:rsidRPr="0016487C">
        <w:rPr>
          <w:color w:val="FF0000"/>
          <w:sz w:val="24"/>
          <w:szCs w:val="24"/>
        </w:rPr>
        <w:t xml:space="preserve">Le document 7 porte sur le taux de chômage en Belgique et chez ses voisins. </w:t>
      </w:r>
    </w:p>
    <w:p w:rsidR="0016487C" w:rsidRPr="0016487C" w:rsidRDefault="0016487C" w:rsidP="0016487C">
      <w:pPr>
        <w:spacing w:after="0" w:line="259" w:lineRule="auto"/>
        <w:jc w:val="both"/>
        <w:rPr>
          <w:color w:val="FF0000"/>
          <w:sz w:val="24"/>
          <w:szCs w:val="24"/>
        </w:rPr>
      </w:pPr>
      <w:r w:rsidRPr="0016487C">
        <w:rPr>
          <w:color w:val="FF0000"/>
          <w:sz w:val="24"/>
          <w:szCs w:val="24"/>
        </w:rPr>
        <w:t>Les étrangers hors UE ont, dans l’ensemble des pays cité, un taux de chômage plus élevé que les nationaux.</w:t>
      </w:r>
    </w:p>
    <w:p w:rsidR="003D6591" w:rsidRDefault="003D6591" w:rsidP="003D6591">
      <w:pPr>
        <w:spacing w:after="0"/>
        <w:jc w:val="both"/>
        <w:rPr>
          <w:color w:val="FF0000"/>
        </w:rPr>
      </w:pPr>
    </w:p>
    <w:p w:rsidR="003D6591" w:rsidRDefault="009862F9" w:rsidP="009862F9">
      <w:pPr>
        <w:tabs>
          <w:tab w:val="left" w:pos="1695"/>
        </w:tabs>
        <w:jc w:val="both"/>
        <w:rPr>
          <w:color w:val="FF0000"/>
        </w:rPr>
      </w:pPr>
      <w:r>
        <w:rPr>
          <w:color w:val="FF0000"/>
        </w:rPr>
        <w:tab/>
      </w:r>
    </w:p>
    <w:p w:rsidR="009862F9" w:rsidRDefault="009862F9" w:rsidP="009862F9">
      <w:pPr>
        <w:tabs>
          <w:tab w:val="left" w:pos="1695"/>
        </w:tabs>
        <w:jc w:val="both"/>
        <w:rPr>
          <w:color w:val="FF0000"/>
        </w:rPr>
      </w:pPr>
    </w:p>
    <w:p w:rsidR="009862F9" w:rsidRDefault="009862F9" w:rsidP="009862F9">
      <w:pPr>
        <w:tabs>
          <w:tab w:val="left" w:pos="1695"/>
        </w:tabs>
        <w:jc w:val="both"/>
        <w:rPr>
          <w:color w:val="FF0000"/>
        </w:rPr>
      </w:pPr>
    </w:p>
    <w:p w:rsidR="009862F9" w:rsidRDefault="009862F9" w:rsidP="009862F9">
      <w:pPr>
        <w:tabs>
          <w:tab w:val="left" w:pos="1695"/>
        </w:tabs>
        <w:jc w:val="both"/>
        <w:rPr>
          <w:color w:val="FF0000"/>
        </w:rPr>
      </w:pPr>
    </w:p>
    <w:p w:rsidR="009862F9" w:rsidRDefault="009862F9" w:rsidP="009862F9">
      <w:pPr>
        <w:tabs>
          <w:tab w:val="left" w:pos="1695"/>
        </w:tabs>
        <w:jc w:val="both"/>
        <w:rPr>
          <w:color w:val="FF0000"/>
        </w:rPr>
      </w:pPr>
    </w:p>
    <w:p w:rsidR="009862F9" w:rsidRDefault="009862F9" w:rsidP="009862F9">
      <w:pPr>
        <w:tabs>
          <w:tab w:val="left" w:pos="1695"/>
        </w:tabs>
        <w:jc w:val="both"/>
        <w:rPr>
          <w:color w:val="FF0000"/>
        </w:rPr>
      </w:pPr>
    </w:p>
    <w:p w:rsidR="009862F9" w:rsidRDefault="009862F9" w:rsidP="009862F9">
      <w:pPr>
        <w:tabs>
          <w:tab w:val="left" w:pos="1695"/>
        </w:tabs>
        <w:jc w:val="both"/>
        <w:rPr>
          <w:color w:val="FF0000"/>
        </w:rPr>
      </w:pPr>
    </w:p>
    <w:p w:rsidR="009862F9" w:rsidRDefault="009862F9" w:rsidP="009862F9">
      <w:pPr>
        <w:tabs>
          <w:tab w:val="left" w:pos="1695"/>
        </w:tabs>
        <w:jc w:val="both"/>
        <w:rPr>
          <w:color w:val="FF0000"/>
        </w:rPr>
      </w:pPr>
    </w:p>
    <w:p w:rsidR="009862F9" w:rsidRDefault="009862F9" w:rsidP="009862F9">
      <w:pPr>
        <w:tabs>
          <w:tab w:val="left" w:pos="1695"/>
        </w:tabs>
        <w:jc w:val="both"/>
        <w:rPr>
          <w:color w:val="FF0000"/>
        </w:rPr>
      </w:pPr>
    </w:p>
    <w:p w:rsidR="009862F9" w:rsidRPr="00E02A9A" w:rsidRDefault="009862F9" w:rsidP="009862F9">
      <w:pPr>
        <w:spacing w:after="0"/>
        <w:jc w:val="both"/>
        <w:rPr>
          <w:b/>
          <w:color w:val="FF0000"/>
          <w:sz w:val="24"/>
          <w:szCs w:val="24"/>
        </w:rPr>
      </w:pPr>
      <w:r w:rsidRPr="00E02A9A">
        <w:rPr>
          <w:b/>
          <w:color w:val="FF0000"/>
          <w:sz w:val="24"/>
          <w:szCs w:val="24"/>
        </w:rPr>
        <w:lastRenderedPageBreak/>
        <w:t xml:space="preserve">Corrigé de la page 23, partie 1 (étude de documents) : </w:t>
      </w:r>
    </w:p>
    <w:p w:rsidR="009862F9" w:rsidRDefault="009862F9" w:rsidP="009862F9">
      <w:pPr>
        <w:tabs>
          <w:tab w:val="left" w:pos="1695"/>
        </w:tabs>
        <w:jc w:val="both"/>
        <w:rPr>
          <w:color w:val="FF0000"/>
        </w:rPr>
      </w:pPr>
    </w:p>
    <w:p w:rsidR="009862F9" w:rsidRPr="009862F9" w:rsidRDefault="009862F9" w:rsidP="009862F9">
      <w:pPr>
        <w:numPr>
          <w:ilvl w:val="0"/>
          <w:numId w:val="2"/>
        </w:numPr>
        <w:spacing w:after="0" w:line="259" w:lineRule="auto"/>
        <w:contextualSpacing/>
        <w:jc w:val="both"/>
        <w:rPr>
          <w:color w:val="FF0000"/>
          <w:sz w:val="24"/>
          <w:szCs w:val="24"/>
        </w:rPr>
      </w:pPr>
      <w:r w:rsidRPr="009862F9">
        <w:rPr>
          <w:color w:val="FF0000"/>
          <w:sz w:val="24"/>
          <w:szCs w:val="24"/>
        </w:rPr>
        <w:t>Il est vrai que la capitale de la Turquie (Ankara) se trouve dans le continent asiatique. Cependant, une partie de la Turquie notamment la ville d’Istanbul se trouve dans le continent européen. Par conséquent, la Turquie est européenne.</w:t>
      </w:r>
    </w:p>
    <w:p w:rsidR="009862F9" w:rsidRPr="009862F9" w:rsidRDefault="009862F9" w:rsidP="009862F9">
      <w:pPr>
        <w:numPr>
          <w:ilvl w:val="0"/>
          <w:numId w:val="2"/>
        </w:numPr>
        <w:spacing w:after="0" w:line="259" w:lineRule="auto"/>
        <w:contextualSpacing/>
        <w:jc w:val="both"/>
        <w:rPr>
          <w:color w:val="FF0000"/>
          <w:sz w:val="24"/>
          <w:szCs w:val="24"/>
        </w:rPr>
      </w:pPr>
      <w:r w:rsidRPr="009862F9">
        <w:rPr>
          <w:color w:val="FF0000"/>
          <w:sz w:val="24"/>
          <w:szCs w:val="24"/>
        </w:rPr>
        <w:t xml:space="preserve">La Turquie n’est pas historiquement européenne. Cependant, en 1923 Mustafa Kamal Atatürk a réformé et occidentalisé la société turque. Ce changement se traduit par une laïcité absolue, un changement d’écriture, de coutumes, …  </w:t>
      </w:r>
    </w:p>
    <w:p w:rsidR="009862F9" w:rsidRPr="009862F9" w:rsidRDefault="009862F9" w:rsidP="009862F9">
      <w:pPr>
        <w:spacing w:after="0" w:line="259" w:lineRule="auto"/>
        <w:ind w:left="720"/>
        <w:contextualSpacing/>
        <w:jc w:val="both"/>
        <w:rPr>
          <w:color w:val="FF0000"/>
          <w:sz w:val="24"/>
          <w:szCs w:val="24"/>
        </w:rPr>
      </w:pPr>
      <w:r w:rsidRPr="009862F9">
        <w:rPr>
          <w:color w:val="FF0000"/>
          <w:sz w:val="24"/>
          <w:szCs w:val="24"/>
        </w:rPr>
        <w:t xml:space="preserve">Ces éléments nous montrent que la Turquie s’est rapprochée des éléments historiques des pays européens. </w:t>
      </w:r>
    </w:p>
    <w:p w:rsidR="009862F9" w:rsidRPr="009862F9" w:rsidRDefault="009862F9" w:rsidP="009862F9">
      <w:pPr>
        <w:numPr>
          <w:ilvl w:val="0"/>
          <w:numId w:val="2"/>
        </w:numPr>
        <w:spacing w:after="0" w:line="259" w:lineRule="auto"/>
        <w:contextualSpacing/>
        <w:jc w:val="both"/>
        <w:rPr>
          <w:color w:val="FF0000"/>
          <w:sz w:val="24"/>
          <w:szCs w:val="24"/>
        </w:rPr>
      </w:pPr>
      <w:r w:rsidRPr="009862F9">
        <w:rPr>
          <w:color w:val="FF0000"/>
          <w:sz w:val="24"/>
          <w:szCs w:val="24"/>
        </w:rPr>
        <w:t>L’Europe est un ensemble de pays chrétiens. Comme pays musulman, la Turquie apporterait au modèle européen une capacité de rayonnent mondial prouvant que l’islam est compatible avec la démocratie.</w:t>
      </w:r>
    </w:p>
    <w:p w:rsidR="009862F9" w:rsidRPr="009862F9" w:rsidRDefault="009862F9" w:rsidP="009862F9">
      <w:pPr>
        <w:numPr>
          <w:ilvl w:val="0"/>
          <w:numId w:val="2"/>
        </w:numPr>
        <w:spacing w:after="0" w:line="259" w:lineRule="auto"/>
        <w:contextualSpacing/>
        <w:jc w:val="both"/>
        <w:rPr>
          <w:color w:val="FF0000"/>
          <w:sz w:val="24"/>
          <w:szCs w:val="24"/>
        </w:rPr>
      </w:pPr>
      <w:r w:rsidRPr="009862F9">
        <w:rPr>
          <w:color w:val="FF0000"/>
          <w:sz w:val="24"/>
          <w:szCs w:val="24"/>
        </w:rPr>
        <w:t xml:space="preserve">Nous constations aujourd’hui un vieillissement de la population européenne. En intégrant la Turquie, l’Europe verra sa population globale rajeunir. De plus, les turcs pourraient compenser le manque de personne suite au vieillissement de la population car la population turque est plutôt jeune. </w:t>
      </w:r>
    </w:p>
    <w:p w:rsidR="009862F9" w:rsidRPr="009862F9" w:rsidRDefault="009862F9" w:rsidP="009862F9">
      <w:pPr>
        <w:numPr>
          <w:ilvl w:val="0"/>
          <w:numId w:val="2"/>
        </w:numPr>
        <w:spacing w:after="0" w:line="259" w:lineRule="auto"/>
        <w:contextualSpacing/>
        <w:jc w:val="both"/>
        <w:rPr>
          <w:color w:val="FF0000"/>
          <w:sz w:val="24"/>
          <w:szCs w:val="24"/>
        </w:rPr>
      </w:pPr>
      <w:r w:rsidRPr="009862F9">
        <w:rPr>
          <w:color w:val="FF0000"/>
          <w:sz w:val="24"/>
          <w:szCs w:val="24"/>
        </w:rPr>
        <w:t>L’Union européenne est avant tout un projet politique et économique. En intégrant la Turquie, l’UE pourrait voir son économie se redresser car la Turquie est un marché de 65 millions de consommateurs.</w:t>
      </w:r>
    </w:p>
    <w:p w:rsidR="009862F9" w:rsidRPr="009862F9" w:rsidRDefault="009862F9" w:rsidP="009862F9">
      <w:pPr>
        <w:numPr>
          <w:ilvl w:val="0"/>
          <w:numId w:val="2"/>
        </w:numPr>
        <w:spacing w:after="0" w:line="259" w:lineRule="auto"/>
        <w:contextualSpacing/>
        <w:jc w:val="both"/>
        <w:rPr>
          <w:color w:val="FF0000"/>
          <w:sz w:val="24"/>
          <w:szCs w:val="24"/>
        </w:rPr>
      </w:pPr>
      <w:r w:rsidRPr="009862F9">
        <w:rPr>
          <w:color w:val="FF0000"/>
          <w:sz w:val="24"/>
          <w:szCs w:val="24"/>
        </w:rPr>
        <w:t xml:space="preserve">Les gains de l’intégration de la Turquie dans l’UE sont plus importants que les coûts. Voir dernier argument (65 millions de consommateurs). </w:t>
      </w:r>
    </w:p>
    <w:p w:rsidR="009862F9" w:rsidRDefault="009862F9" w:rsidP="009862F9">
      <w:pPr>
        <w:tabs>
          <w:tab w:val="left" w:pos="1695"/>
        </w:tabs>
        <w:jc w:val="both"/>
        <w:rPr>
          <w:color w:val="FF0000"/>
        </w:rPr>
      </w:pPr>
    </w:p>
    <w:p w:rsidR="009862F9" w:rsidRDefault="009862F9" w:rsidP="009862F9">
      <w:pPr>
        <w:tabs>
          <w:tab w:val="left" w:pos="1695"/>
        </w:tabs>
        <w:jc w:val="both"/>
        <w:rPr>
          <w:color w:val="FF0000"/>
        </w:rPr>
      </w:pPr>
    </w:p>
    <w:p w:rsidR="009862F9" w:rsidRDefault="009862F9" w:rsidP="009862F9">
      <w:pPr>
        <w:tabs>
          <w:tab w:val="left" w:pos="1695"/>
        </w:tabs>
        <w:jc w:val="both"/>
        <w:rPr>
          <w:color w:val="FF0000"/>
        </w:rPr>
      </w:pPr>
    </w:p>
    <w:p w:rsidR="009862F9" w:rsidRDefault="009862F9" w:rsidP="009862F9">
      <w:pPr>
        <w:tabs>
          <w:tab w:val="left" w:pos="1695"/>
        </w:tabs>
        <w:jc w:val="both"/>
        <w:rPr>
          <w:color w:val="FF0000"/>
        </w:rPr>
      </w:pPr>
    </w:p>
    <w:p w:rsidR="009862F9" w:rsidRDefault="009862F9" w:rsidP="009862F9">
      <w:pPr>
        <w:tabs>
          <w:tab w:val="left" w:pos="1695"/>
        </w:tabs>
        <w:jc w:val="both"/>
        <w:rPr>
          <w:color w:val="FF0000"/>
        </w:rPr>
      </w:pPr>
    </w:p>
    <w:p w:rsidR="009862F9" w:rsidRDefault="009862F9" w:rsidP="009862F9">
      <w:pPr>
        <w:tabs>
          <w:tab w:val="left" w:pos="1695"/>
        </w:tabs>
        <w:jc w:val="both"/>
        <w:rPr>
          <w:color w:val="FF0000"/>
        </w:rPr>
      </w:pPr>
    </w:p>
    <w:p w:rsidR="009862F9" w:rsidRDefault="009862F9" w:rsidP="009862F9">
      <w:pPr>
        <w:tabs>
          <w:tab w:val="left" w:pos="1695"/>
        </w:tabs>
        <w:jc w:val="both"/>
        <w:rPr>
          <w:color w:val="FF0000"/>
        </w:rPr>
      </w:pPr>
    </w:p>
    <w:p w:rsidR="009862F9" w:rsidRDefault="009862F9" w:rsidP="009862F9">
      <w:pPr>
        <w:tabs>
          <w:tab w:val="left" w:pos="1695"/>
        </w:tabs>
        <w:jc w:val="both"/>
        <w:rPr>
          <w:color w:val="FF0000"/>
        </w:rPr>
      </w:pPr>
    </w:p>
    <w:p w:rsidR="009862F9" w:rsidRDefault="009862F9" w:rsidP="009862F9">
      <w:pPr>
        <w:tabs>
          <w:tab w:val="left" w:pos="1695"/>
        </w:tabs>
        <w:jc w:val="both"/>
        <w:rPr>
          <w:color w:val="FF0000"/>
        </w:rPr>
      </w:pPr>
    </w:p>
    <w:p w:rsidR="009862F9" w:rsidRDefault="009862F9" w:rsidP="009862F9">
      <w:pPr>
        <w:tabs>
          <w:tab w:val="left" w:pos="1695"/>
        </w:tabs>
        <w:jc w:val="both"/>
        <w:rPr>
          <w:color w:val="FF0000"/>
        </w:rPr>
      </w:pPr>
    </w:p>
    <w:p w:rsidR="009862F9" w:rsidRDefault="009862F9" w:rsidP="009862F9">
      <w:pPr>
        <w:tabs>
          <w:tab w:val="left" w:pos="1695"/>
        </w:tabs>
        <w:jc w:val="both"/>
        <w:rPr>
          <w:color w:val="FF0000"/>
        </w:rPr>
      </w:pPr>
    </w:p>
    <w:p w:rsidR="009862F9" w:rsidRDefault="009862F9" w:rsidP="009862F9">
      <w:pPr>
        <w:tabs>
          <w:tab w:val="left" w:pos="1695"/>
        </w:tabs>
        <w:jc w:val="both"/>
        <w:rPr>
          <w:color w:val="FF0000"/>
        </w:rPr>
      </w:pPr>
    </w:p>
    <w:p w:rsidR="009862F9" w:rsidRDefault="009862F9" w:rsidP="009862F9">
      <w:pPr>
        <w:tabs>
          <w:tab w:val="left" w:pos="1695"/>
        </w:tabs>
        <w:jc w:val="both"/>
        <w:rPr>
          <w:color w:val="FF0000"/>
        </w:rPr>
      </w:pPr>
    </w:p>
    <w:p w:rsidR="009862F9" w:rsidRDefault="009862F9" w:rsidP="009862F9">
      <w:pPr>
        <w:tabs>
          <w:tab w:val="left" w:pos="1695"/>
        </w:tabs>
        <w:jc w:val="both"/>
        <w:rPr>
          <w:color w:val="FF0000"/>
        </w:rPr>
      </w:pPr>
    </w:p>
    <w:p w:rsidR="009862F9" w:rsidRDefault="009862F9" w:rsidP="009862F9">
      <w:pPr>
        <w:tabs>
          <w:tab w:val="left" w:pos="1695"/>
        </w:tabs>
        <w:jc w:val="both"/>
        <w:rPr>
          <w:color w:val="FF0000"/>
        </w:rPr>
      </w:pPr>
    </w:p>
    <w:p w:rsidR="009862F9" w:rsidRPr="00E02A9A" w:rsidRDefault="009862F9" w:rsidP="009862F9">
      <w:pPr>
        <w:spacing w:after="0"/>
        <w:jc w:val="both"/>
        <w:rPr>
          <w:b/>
          <w:color w:val="FF0000"/>
          <w:sz w:val="24"/>
          <w:szCs w:val="24"/>
        </w:rPr>
      </w:pPr>
      <w:r w:rsidRPr="00E02A9A">
        <w:rPr>
          <w:b/>
          <w:color w:val="FF0000"/>
          <w:sz w:val="24"/>
          <w:szCs w:val="24"/>
        </w:rPr>
        <w:lastRenderedPageBreak/>
        <w:t xml:space="preserve">Corrigé de la </w:t>
      </w:r>
      <w:r w:rsidR="005A2D11" w:rsidRPr="00E02A9A">
        <w:rPr>
          <w:b/>
          <w:color w:val="FF0000"/>
          <w:sz w:val="24"/>
          <w:szCs w:val="24"/>
        </w:rPr>
        <w:t>page 27</w:t>
      </w:r>
      <w:r w:rsidRPr="00E02A9A">
        <w:rPr>
          <w:b/>
          <w:color w:val="FF0000"/>
          <w:sz w:val="24"/>
          <w:szCs w:val="24"/>
        </w:rPr>
        <w:t xml:space="preserve">, partie 1 (étude de documents) : </w:t>
      </w:r>
    </w:p>
    <w:p w:rsidR="009862F9" w:rsidRDefault="009862F9" w:rsidP="009862F9">
      <w:pPr>
        <w:tabs>
          <w:tab w:val="left" w:pos="1695"/>
        </w:tabs>
        <w:jc w:val="both"/>
        <w:rPr>
          <w:color w:val="FF0000"/>
        </w:rPr>
      </w:pPr>
    </w:p>
    <w:p w:rsidR="005A2D11" w:rsidRPr="005A2D11" w:rsidRDefault="005A2D11" w:rsidP="005A2D11">
      <w:pPr>
        <w:spacing w:after="0" w:line="259" w:lineRule="auto"/>
        <w:jc w:val="both"/>
        <w:rPr>
          <w:color w:val="FF0000"/>
          <w:sz w:val="24"/>
          <w:szCs w:val="24"/>
        </w:rPr>
      </w:pPr>
      <w:r w:rsidRPr="005A2D11">
        <w:rPr>
          <w:color w:val="FF0000"/>
          <w:sz w:val="24"/>
          <w:szCs w:val="24"/>
        </w:rPr>
        <w:t xml:space="preserve">1. </w:t>
      </w:r>
    </w:p>
    <w:p w:rsidR="005A2D11" w:rsidRPr="005A2D11" w:rsidRDefault="005A2D11" w:rsidP="005A2D11">
      <w:pPr>
        <w:spacing w:after="0" w:line="259" w:lineRule="auto"/>
        <w:jc w:val="both"/>
        <w:rPr>
          <w:color w:val="FF0000"/>
          <w:sz w:val="24"/>
          <w:szCs w:val="24"/>
        </w:rPr>
      </w:pPr>
    </w:p>
    <w:p w:rsidR="005A2D11" w:rsidRPr="005A2D11" w:rsidRDefault="005A2D11" w:rsidP="005A2D11">
      <w:pPr>
        <w:spacing w:after="0" w:line="259" w:lineRule="auto"/>
        <w:jc w:val="both"/>
        <w:rPr>
          <w:rFonts w:ascii="Times New Roman" w:hAnsi="Times New Roman" w:cs="Times New Roman"/>
          <w:color w:val="FF0000"/>
          <w:sz w:val="24"/>
          <w:szCs w:val="24"/>
        </w:rPr>
      </w:pPr>
      <w:r w:rsidRPr="005A2D11">
        <w:rPr>
          <w:rFonts w:ascii="Times New Roman" w:hAnsi="Times New Roman" w:cs="Times New Roman"/>
          <w:color w:val="FF0000"/>
          <w:sz w:val="24"/>
          <w:szCs w:val="24"/>
        </w:rPr>
        <w:t xml:space="preserve">1. Le document 1 porte sur l’évolution de l’espérance de vie. Nous constatons que l’espérance de vie ne fait qu’augmenter au fur et à mesure des années. En effet, l’espérance de vie a augmenté passant de 46,8 ans en 1950 à 71,4 ans en 2018. La projection prédit une espérance de 77,6 ans en 2050 et 83 ans en 2100. </w:t>
      </w:r>
    </w:p>
    <w:p w:rsidR="005A2D11" w:rsidRPr="005A2D11" w:rsidRDefault="005A2D11" w:rsidP="005A2D11">
      <w:pPr>
        <w:spacing w:after="0" w:line="259" w:lineRule="auto"/>
        <w:jc w:val="both"/>
        <w:rPr>
          <w:rFonts w:ascii="Times New Roman" w:hAnsi="Times New Roman" w:cs="Times New Roman"/>
          <w:color w:val="FF0000"/>
          <w:sz w:val="24"/>
          <w:szCs w:val="24"/>
        </w:rPr>
      </w:pPr>
    </w:p>
    <w:p w:rsidR="005A2D11" w:rsidRPr="005A2D11" w:rsidRDefault="005A2D11" w:rsidP="005A2D11">
      <w:pPr>
        <w:spacing w:after="0" w:line="259" w:lineRule="auto"/>
        <w:jc w:val="both"/>
        <w:rPr>
          <w:rFonts w:ascii="Times New Roman" w:hAnsi="Times New Roman" w:cs="Times New Roman"/>
          <w:color w:val="FF0000"/>
          <w:sz w:val="24"/>
          <w:szCs w:val="24"/>
        </w:rPr>
      </w:pPr>
      <w:r w:rsidRPr="005A2D11">
        <w:rPr>
          <w:rFonts w:ascii="Times New Roman" w:hAnsi="Times New Roman" w:cs="Times New Roman"/>
          <w:color w:val="FF0000"/>
          <w:sz w:val="24"/>
          <w:szCs w:val="24"/>
        </w:rPr>
        <w:t xml:space="preserve">2. Le document 2 porte sur l’évolution de l’espérance de vie en France et les raisons de cette évolution. De 1900 à 2000, l’espérance de vie en France est passée de 48 à 79 ans soit une hausse de 65%. </w:t>
      </w:r>
    </w:p>
    <w:p w:rsidR="005A2D11" w:rsidRPr="005A2D11" w:rsidRDefault="005A2D11" w:rsidP="005A2D11">
      <w:pPr>
        <w:spacing w:after="0" w:line="259" w:lineRule="auto"/>
        <w:jc w:val="both"/>
        <w:rPr>
          <w:rFonts w:ascii="Times New Roman" w:hAnsi="Times New Roman" w:cs="Times New Roman"/>
          <w:color w:val="FF0000"/>
          <w:sz w:val="24"/>
          <w:szCs w:val="24"/>
        </w:rPr>
      </w:pPr>
    </w:p>
    <w:p w:rsidR="005A2D11" w:rsidRPr="005A2D11" w:rsidRDefault="005A2D11" w:rsidP="005A2D11">
      <w:pPr>
        <w:spacing w:after="0" w:line="259" w:lineRule="auto"/>
        <w:jc w:val="both"/>
        <w:rPr>
          <w:rFonts w:ascii="Times New Roman" w:hAnsi="Times New Roman" w:cs="Times New Roman"/>
          <w:color w:val="FF0000"/>
          <w:sz w:val="24"/>
          <w:szCs w:val="24"/>
        </w:rPr>
      </w:pPr>
      <w:r w:rsidRPr="005A2D11">
        <w:rPr>
          <w:rFonts w:ascii="Times New Roman" w:hAnsi="Times New Roman" w:cs="Times New Roman"/>
          <w:color w:val="FF0000"/>
          <w:sz w:val="24"/>
          <w:szCs w:val="24"/>
        </w:rPr>
        <w:t xml:space="preserve">Cette avancée s’explique par de nombreux progrès. Progrès sanitaires : prise en charge de la grosse et des nourrissons, antibiotiques, vaccinations, chirurgie, etc. Le second progrès est social : allègement du travail, congés payés, allègement du temps de travail, accès aux soins et à la scolarité, accès à l’eau courante, électricité, chauffage, accès au logement, etc. </w:t>
      </w:r>
    </w:p>
    <w:p w:rsidR="005A2D11" w:rsidRPr="005A2D11" w:rsidRDefault="005A2D11" w:rsidP="005A2D11">
      <w:pPr>
        <w:spacing w:after="0" w:line="259" w:lineRule="auto"/>
        <w:jc w:val="both"/>
        <w:rPr>
          <w:rFonts w:ascii="Times New Roman" w:hAnsi="Times New Roman" w:cs="Times New Roman"/>
          <w:color w:val="FF0000"/>
          <w:sz w:val="24"/>
          <w:szCs w:val="24"/>
        </w:rPr>
      </w:pPr>
    </w:p>
    <w:p w:rsidR="005A2D11" w:rsidRPr="005A2D11" w:rsidRDefault="005A2D11" w:rsidP="005A2D11">
      <w:pPr>
        <w:spacing w:after="0" w:line="259" w:lineRule="auto"/>
        <w:jc w:val="both"/>
        <w:rPr>
          <w:rFonts w:ascii="Times New Roman" w:hAnsi="Times New Roman" w:cs="Times New Roman"/>
          <w:color w:val="FF0000"/>
          <w:sz w:val="24"/>
          <w:szCs w:val="24"/>
        </w:rPr>
      </w:pPr>
      <w:r w:rsidRPr="005A2D11">
        <w:rPr>
          <w:rFonts w:ascii="Times New Roman" w:hAnsi="Times New Roman" w:cs="Times New Roman"/>
          <w:color w:val="FF0000"/>
          <w:sz w:val="24"/>
          <w:szCs w:val="24"/>
        </w:rPr>
        <w:t>3. Le document 3 porte sur les dépenses de santé annuelle par tranches d’âges en euro. Nous constatons que les dépenses de santé annuelle augmentent en fonction de l’âge. Plus la personne est âgée, plus les dépenses de santé sont importantes.</w:t>
      </w:r>
    </w:p>
    <w:p w:rsidR="005A2D11" w:rsidRPr="005A2D11" w:rsidRDefault="005A2D11" w:rsidP="005A2D11">
      <w:pPr>
        <w:spacing w:after="0" w:line="259" w:lineRule="auto"/>
        <w:jc w:val="both"/>
        <w:rPr>
          <w:rFonts w:ascii="Times New Roman" w:hAnsi="Times New Roman" w:cs="Times New Roman"/>
          <w:color w:val="FF0000"/>
          <w:sz w:val="24"/>
          <w:szCs w:val="24"/>
        </w:rPr>
      </w:pPr>
    </w:p>
    <w:p w:rsidR="005A2D11" w:rsidRPr="005A2D11" w:rsidRDefault="005A2D11" w:rsidP="005A2D11">
      <w:pPr>
        <w:spacing w:after="0" w:line="259" w:lineRule="auto"/>
        <w:jc w:val="both"/>
        <w:rPr>
          <w:rFonts w:ascii="Times New Roman" w:hAnsi="Times New Roman" w:cs="Times New Roman"/>
          <w:color w:val="FF0000"/>
          <w:sz w:val="24"/>
          <w:szCs w:val="24"/>
        </w:rPr>
      </w:pPr>
      <w:r w:rsidRPr="005A2D11">
        <w:rPr>
          <w:rFonts w:ascii="Times New Roman" w:hAnsi="Times New Roman" w:cs="Times New Roman"/>
          <w:color w:val="FF0000"/>
          <w:sz w:val="24"/>
          <w:szCs w:val="24"/>
        </w:rPr>
        <w:t xml:space="preserve">4. Le document 4 porte sur les coûts budgétaires du vieillissement de 2005 à 2050, en % du PIB. Nous constatons qu’au fur et à mesure du temps (2005, 2011, 2030, 2050), les coûts des pensions et soins de santé augmentent. </w:t>
      </w:r>
    </w:p>
    <w:p w:rsidR="005A2D11" w:rsidRPr="005A2D11" w:rsidRDefault="005A2D11" w:rsidP="005A2D11">
      <w:pPr>
        <w:spacing w:after="0" w:line="259" w:lineRule="auto"/>
        <w:jc w:val="both"/>
        <w:rPr>
          <w:rFonts w:ascii="Times New Roman" w:hAnsi="Times New Roman" w:cs="Times New Roman"/>
          <w:color w:val="FF0000"/>
          <w:sz w:val="24"/>
          <w:szCs w:val="24"/>
        </w:rPr>
      </w:pPr>
    </w:p>
    <w:p w:rsidR="005A2D11" w:rsidRPr="005A2D11" w:rsidRDefault="005A2D11" w:rsidP="005A2D11">
      <w:pPr>
        <w:spacing w:after="0" w:line="259" w:lineRule="auto"/>
        <w:jc w:val="both"/>
        <w:rPr>
          <w:rFonts w:ascii="Times New Roman" w:hAnsi="Times New Roman" w:cs="Times New Roman"/>
          <w:color w:val="FF0000"/>
          <w:sz w:val="24"/>
          <w:szCs w:val="24"/>
        </w:rPr>
      </w:pPr>
      <w:r w:rsidRPr="005A2D11">
        <w:rPr>
          <w:rFonts w:ascii="Times New Roman" w:hAnsi="Times New Roman" w:cs="Times New Roman"/>
          <w:color w:val="FF0000"/>
          <w:sz w:val="24"/>
          <w:szCs w:val="24"/>
        </w:rPr>
        <w:t>A titre d’exemples, les pensions représentent 9,1% du PIB en 2005 et représenteront 13% du PIB en 2050. Les soins de santé représentent 7, 1% du PIB en 2005 et représenteront 10,8% du PIB en 2050.</w:t>
      </w:r>
    </w:p>
    <w:p w:rsidR="005A2D11" w:rsidRPr="005A2D11" w:rsidRDefault="005A2D11" w:rsidP="005A2D11">
      <w:pPr>
        <w:spacing w:after="0" w:line="259" w:lineRule="auto"/>
        <w:jc w:val="both"/>
        <w:rPr>
          <w:rFonts w:ascii="Times New Roman" w:hAnsi="Times New Roman" w:cs="Times New Roman"/>
          <w:color w:val="FF0000"/>
          <w:sz w:val="24"/>
          <w:szCs w:val="24"/>
        </w:rPr>
      </w:pPr>
    </w:p>
    <w:p w:rsidR="005A2D11" w:rsidRPr="005A2D11" w:rsidRDefault="005A2D11" w:rsidP="005A2D11">
      <w:pPr>
        <w:spacing w:after="0" w:line="259" w:lineRule="auto"/>
        <w:jc w:val="both"/>
        <w:rPr>
          <w:rFonts w:ascii="Times New Roman" w:hAnsi="Times New Roman" w:cs="Times New Roman"/>
          <w:color w:val="FF0000"/>
          <w:sz w:val="24"/>
          <w:szCs w:val="24"/>
        </w:rPr>
      </w:pPr>
      <w:r w:rsidRPr="005A2D11">
        <w:rPr>
          <w:rFonts w:ascii="Times New Roman" w:hAnsi="Times New Roman" w:cs="Times New Roman"/>
          <w:color w:val="FF0000"/>
          <w:sz w:val="24"/>
          <w:szCs w:val="24"/>
        </w:rPr>
        <w:t xml:space="preserve">5. Le document 5 se questionne sur la question suivante : pourquoi l’Europe ne fait-elle pas plus d’enfants ? </w:t>
      </w:r>
    </w:p>
    <w:p w:rsidR="005A2D11" w:rsidRPr="005A2D11" w:rsidRDefault="005A2D11" w:rsidP="005A2D11">
      <w:pPr>
        <w:spacing w:after="0" w:line="259" w:lineRule="auto"/>
        <w:jc w:val="both"/>
        <w:rPr>
          <w:rFonts w:ascii="Times New Roman" w:hAnsi="Times New Roman" w:cs="Times New Roman"/>
          <w:color w:val="FF0000"/>
          <w:sz w:val="24"/>
          <w:szCs w:val="24"/>
        </w:rPr>
      </w:pPr>
    </w:p>
    <w:p w:rsidR="005A2D11" w:rsidRPr="005A2D11" w:rsidRDefault="005A2D11" w:rsidP="005A2D11">
      <w:pPr>
        <w:spacing w:after="0" w:line="259" w:lineRule="auto"/>
        <w:jc w:val="both"/>
        <w:rPr>
          <w:rFonts w:ascii="Times New Roman" w:hAnsi="Times New Roman" w:cs="Times New Roman"/>
          <w:color w:val="FF0000"/>
          <w:sz w:val="24"/>
          <w:szCs w:val="24"/>
        </w:rPr>
      </w:pPr>
      <w:r w:rsidRPr="005A2D11">
        <w:rPr>
          <w:rFonts w:ascii="Times New Roman" w:hAnsi="Times New Roman" w:cs="Times New Roman"/>
          <w:color w:val="FF0000"/>
          <w:sz w:val="24"/>
          <w:szCs w:val="24"/>
        </w:rPr>
        <w:t xml:space="preserve">Constat : alors que le taux de fertilité nécessaire pour assurer le renouvellement des générations est estimé à 2,1 enfants par femme, le taux moyen constaté dans l’Europe des 25 est de 1,5 </w:t>
      </w:r>
      <w:proofErr w:type="gramStart"/>
      <w:r w:rsidRPr="005A2D11">
        <w:rPr>
          <w:rFonts w:ascii="Times New Roman" w:hAnsi="Times New Roman" w:cs="Times New Roman"/>
          <w:color w:val="FF0000"/>
          <w:sz w:val="24"/>
          <w:szCs w:val="24"/>
        </w:rPr>
        <w:t>enfants</w:t>
      </w:r>
      <w:proofErr w:type="gramEnd"/>
      <w:r w:rsidRPr="005A2D11">
        <w:rPr>
          <w:rFonts w:ascii="Times New Roman" w:hAnsi="Times New Roman" w:cs="Times New Roman"/>
          <w:color w:val="FF0000"/>
          <w:sz w:val="24"/>
          <w:szCs w:val="24"/>
        </w:rPr>
        <w:t xml:space="preserve"> par femme. </w:t>
      </w:r>
    </w:p>
    <w:p w:rsidR="005A2D11" w:rsidRPr="005A2D11" w:rsidRDefault="005A2D11" w:rsidP="005A2D11">
      <w:pPr>
        <w:spacing w:after="0" w:line="259" w:lineRule="auto"/>
        <w:jc w:val="both"/>
        <w:rPr>
          <w:rFonts w:ascii="Times New Roman" w:hAnsi="Times New Roman" w:cs="Times New Roman"/>
          <w:color w:val="FF0000"/>
          <w:sz w:val="24"/>
          <w:szCs w:val="24"/>
        </w:rPr>
      </w:pPr>
    </w:p>
    <w:p w:rsidR="005A2D11" w:rsidRPr="005A2D11" w:rsidRDefault="005A2D11" w:rsidP="005A2D11">
      <w:pPr>
        <w:spacing w:after="0" w:line="259" w:lineRule="auto"/>
        <w:jc w:val="both"/>
        <w:rPr>
          <w:rFonts w:ascii="Times New Roman" w:hAnsi="Times New Roman" w:cs="Times New Roman"/>
          <w:color w:val="FF0000"/>
          <w:sz w:val="24"/>
          <w:szCs w:val="24"/>
        </w:rPr>
      </w:pPr>
      <w:r w:rsidRPr="005A2D11">
        <w:rPr>
          <w:rFonts w:ascii="Times New Roman" w:hAnsi="Times New Roman" w:cs="Times New Roman"/>
          <w:color w:val="FF0000"/>
          <w:sz w:val="24"/>
          <w:szCs w:val="24"/>
        </w:rPr>
        <w:t xml:space="preserve">Les démographes évoquent plusieurs facteurs qui expliquent le déclin européen. Premièrement, le niveau d’éducation des mères qui leur impose d’équilibrer vie familiale et carrière. Deuxièmement, les changements de valeurs culturelles et individuelles. Troisièmement, l’augmentation des divorces et la baisse du nombre de mariages. Quatrièmement, les nouveaux styles de vie (plus de contraception, grosses plus tardives). </w:t>
      </w:r>
    </w:p>
    <w:p w:rsidR="005A2D11" w:rsidRPr="005A2D11" w:rsidRDefault="005A2D11" w:rsidP="005A2D11">
      <w:pPr>
        <w:spacing w:after="0" w:line="259" w:lineRule="auto"/>
        <w:jc w:val="both"/>
        <w:rPr>
          <w:rFonts w:ascii="Times New Roman" w:hAnsi="Times New Roman" w:cs="Times New Roman"/>
          <w:color w:val="FF0000"/>
          <w:sz w:val="24"/>
          <w:szCs w:val="24"/>
        </w:rPr>
      </w:pPr>
    </w:p>
    <w:p w:rsidR="005A2D11" w:rsidRPr="005A2D11" w:rsidRDefault="005A2D11" w:rsidP="005A2D11">
      <w:pPr>
        <w:spacing w:after="0" w:line="259" w:lineRule="auto"/>
        <w:jc w:val="both"/>
        <w:rPr>
          <w:rFonts w:ascii="Times New Roman" w:hAnsi="Times New Roman" w:cs="Times New Roman"/>
          <w:color w:val="FF0000"/>
          <w:sz w:val="24"/>
          <w:szCs w:val="24"/>
        </w:rPr>
      </w:pPr>
      <w:r w:rsidRPr="005A2D11">
        <w:rPr>
          <w:rFonts w:ascii="Times New Roman" w:hAnsi="Times New Roman" w:cs="Times New Roman"/>
          <w:color w:val="FF0000"/>
          <w:sz w:val="24"/>
          <w:szCs w:val="24"/>
        </w:rPr>
        <w:t xml:space="preserve">6. Le document 6 porte sur le vieillissement comme opportunité pour l’emploi. En effet, dans les transports publics, des milliers d’emplois sont à pourvoir chaque année. A titre d’exemple, </w:t>
      </w:r>
      <w:r w:rsidRPr="005A2D11">
        <w:rPr>
          <w:rFonts w:ascii="Times New Roman" w:hAnsi="Times New Roman" w:cs="Times New Roman"/>
          <w:color w:val="FF0000"/>
          <w:sz w:val="24"/>
          <w:szCs w:val="24"/>
        </w:rPr>
        <w:lastRenderedPageBreak/>
        <w:t xml:space="preserve">le groupe SNCB recrute chaque année 1.300 collaborateurs afin de compenser les départs à la retraite. </w:t>
      </w:r>
    </w:p>
    <w:p w:rsidR="005A2D11" w:rsidRPr="005A2D11" w:rsidRDefault="005A2D11" w:rsidP="005A2D11">
      <w:pPr>
        <w:spacing w:after="0" w:line="259" w:lineRule="auto"/>
        <w:jc w:val="both"/>
        <w:rPr>
          <w:rFonts w:ascii="Times New Roman" w:hAnsi="Times New Roman" w:cs="Times New Roman"/>
          <w:color w:val="FF0000"/>
          <w:sz w:val="24"/>
          <w:szCs w:val="24"/>
        </w:rPr>
      </w:pPr>
    </w:p>
    <w:p w:rsidR="005A2D11" w:rsidRPr="005A2D11" w:rsidRDefault="005A2D11" w:rsidP="005A2D11">
      <w:pPr>
        <w:spacing w:after="0" w:line="259" w:lineRule="auto"/>
        <w:jc w:val="both"/>
        <w:rPr>
          <w:rFonts w:ascii="Times New Roman" w:hAnsi="Times New Roman" w:cs="Times New Roman"/>
          <w:color w:val="FF0000"/>
          <w:sz w:val="24"/>
          <w:szCs w:val="24"/>
        </w:rPr>
      </w:pPr>
      <w:r w:rsidRPr="005A2D11">
        <w:rPr>
          <w:rFonts w:ascii="Times New Roman" w:hAnsi="Times New Roman" w:cs="Times New Roman"/>
          <w:color w:val="FF0000"/>
          <w:sz w:val="24"/>
          <w:szCs w:val="24"/>
        </w:rPr>
        <w:t>7. Le document 7 porte sur les opportunités du vieillissement. Premièrement, avec l’augmentation de l’espérance de vie, les personnes pourraient continuer à travailler afin d’alléger la hausse des charges sociétales liées au vieillissement (pensions). Deuxièmement, une population vieillissante constitue une opportunité pour le secteur des entreprises qui offriraient des services pour seniors.</w:t>
      </w:r>
    </w:p>
    <w:p w:rsidR="005A2D11" w:rsidRPr="005A2D11" w:rsidRDefault="005A2D11" w:rsidP="005A2D11">
      <w:pPr>
        <w:spacing w:after="0" w:line="259" w:lineRule="auto"/>
        <w:jc w:val="both"/>
        <w:rPr>
          <w:rFonts w:ascii="Times New Roman" w:hAnsi="Times New Roman" w:cs="Times New Roman"/>
          <w:color w:val="FF0000"/>
          <w:sz w:val="24"/>
          <w:szCs w:val="24"/>
        </w:rPr>
      </w:pPr>
    </w:p>
    <w:p w:rsidR="005A2D11" w:rsidRPr="005A2D11" w:rsidRDefault="005A2D11" w:rsidP="005A2D11">
      <w:pPr>
        <w:spacing w:after="0" w:line="259" w:lineRule="auto"/>
        <w:jc w:val="both"/>
        <w:rPr>
          <w:rFonts w:ascii="Times New Roman" w:hAnsi="Times New Roman" w:cs="Times New Roman"/>
          <w:color w:val="FF0000"/>
          <w:sz w:val="24"/>
          <w:szCs w:val="24"/>
        </w:rPr>
      </w:pPr>
      <w:r w:rsidRPr="005A2D11">
        <w:rPr>
          <w:rFonts w:ascii="Times New Roman" w:hAnsi="Times New Roman" w:cs="Times New Roman"/>
          <w:color w:val="FF0000"/>
          <w:sz w:val="24"/>
          <w:szCs w:val="24"/>
        </w:rPr>
        <w:t xml:space="preserve">8. Le document 8 tente de contrebalancer l’argument selon lequel le vieillissement de la population est fonction de l’augmentation des dépenses de santé. Selon l’article, si les dépenses de santé augmentent en fin de vie, ce n’est pas uniquement dû au vieillissement de la population mais cela est également dû à la proximité du décès. C’est en fin de vie que les dépenses de soins de santé sont très élevé. </w:t>
      </w: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Pr="00E02A9A" w:rsidRDefault="005A2D11" w:rsidP="005A2D11">
      <w:pPr>
        <w:spacing w:after="0"/>
        <w:jc w:val="both"/>
        <w:rPr>
          <w:b/>
          <w:color w:val="FF0000"/>
          <w:sz w:val="24"/>
          <w:szCs w:val="24"/>
        </w:rPr>
      </w:pPr>
      <w:r w:rsidRPr="00E02A9A">
        <w:rPr>
          <w:b/>
          <w:color w:val="FF0000"/>
          <w:sz w:val="24"/>
          <w:szCs w:val="24"/>
        </w:rPr>
        <w:lastRenderedPageBreak/>
        <w:t xml:space="preserve">Corrigé de la page 31, partie 1 (étude de documents) : </w:t>
      </w:r>
    </w:p>
    <w:p w:rsidR="005A2D11" w:rsidRPr="00E02A9A" w:rsidRDefault="005A2D11" w:rsidP="009862F9">
      <w:pPr>
        <w:tabs>
          <w:tab w:val="left" w:pos="1695"/>
        </w:tabs>
        <w:jc w:val="both"/>
        <w:rPr>
          <w:color w:val="FF0000"/>
          <w:sz w:val="24"/>
          <w:szCs w:val="24"/>
        </w:rPr>
      </w:pPr>
    </w:p>
    <w:p w:rsidR="005A2D11" w:rsidRPr="00E02A9A" w:rsidRDefault="005A2D11" w:rsidP="005A2D11">
      <w:pPr>
        <w:spacing w:after="0" w:line="259" w:lineRule="auto"/>
        <w:jc w:val="both"/>
        <w:rPr>
          <w:rFonts w:eastAsia="Times New Roman" w:cstheme="minorHAnsi"/>
          <w:color w:val="FF0000"/>
          <w:sz w:val="24"/>
          <w:szCs w:val="24"/>
          <w:lang w:eastAsia="fr-BE"/>
        </w:rPr>
      </w:pPr>
      <w:r w:rsidRPr="00E02A9A">
        <w:rPr>
          <w:rFonts w:cstheme="minorHAnsi"/>
          <w:color w:val="FF0000"/>
          <w:sz w:val="24"/>
          <w:szCs w:val="24"/>
        </w:rPr>
        <w:t>1. La transition démographique est le p</w:t>
      </w:r>
      <w:r w:rsidRPr="00E02A9A">
        <w:rPr>
          <w:rFonts w:eastAsia="Times New Roman" w:cstheme="minorHAnsi"/>
          <w:color w:val="FF0000"/>
          <w:sz w:val="24"/>
          <w:szCs w:val="24"/>
          <w:lang w:eastAsia="fr-BE"/>
        </w:rPr>
        <w:t xml:space="preserve">assage d’un régime à forte fécondité et à forte mortalité à un régime dans lequel ces deux taux deviennent faibles, aboutissant à une stabilisation de la population. </w:t>
      </w:r>
    </w:p>
    <w:p w:rsidR="005A2D11" w:rsidRPr="00E02A9A" w:rsidRDefault="005A2D11" w:rsidP="005A2D11">
      <w:pPr>
        <w:spacing w:after="0" w:line="259" w:lineRule="auto"/>
        <w:jc w:val="both"/>
        <w:rPr>
          <w:rFonts w:eastAsia="Times New Roman" w:cstheme="minorHAnsi"/>
          <w:color w:val="FF0000"/>
          <w:sz w:val="24"/>
          <w:szCs w:val="24"/>
          <w:lang w:eastAsia="fr-BE"/>
        </w:rPr>
      </w:pPr>
    </w:p>
    <w:p w:rsidR="005A2D11" w:rsidRPr="00E02A9A" w:rsidRDefault="005A2D11" w:rsidP="005A2D11">
      <w:pPr>
        <w:spacing w:after="0" w:line="259" w:lineRule="auto"/>
        <w:jc w:val="both"/>
        <w:rPr>
          <w:rFonts w:cstheme="minorHAnsi"/>
          <w:color w:val="FF0000"/>
          <w:sz w:val="24"/>
          <w:szCs w:val="24"/>
        </w:rPr>
      </w:pPr>
      <w:r w:rsidRPr="00E02A9A">
        <w:rPr>
          <w:rFonts w:eastAsia="Times New Roman" w:cstheme="minorHAnsi"/>
          <w:color w:val="FF0000"/>
          <w:sz w:val="24"/>
          <w:szCs w:val="24"/>
          <w:lang w:eastAsia="fr-BE"/>
        </w:rPr>
        <w:t xml:space="preserve">2. </w:t>
      </w:r>
      <w:r w:rsidRPr="00E02A9A">
        <w:rPr>
          <w:rFonts w:cstheme="minorHAnsi"/>
          <w:color w:val="FF0000"/>
          <w:sz w:val="24"/>
          <w:szCs w:val="24"/>
        </w:rPr>
        <w:t xml:space="preserve">Les migrations sont nécessaires du point de vue démographique pour faire face au vieillissement des populations des pays occidentaux. Une immigration de remplacement serait la solution aux problèmes liés au vieillissement de la population. </w:t>
      </w:r>
    </w:p>
    <w:p w:rsidR="005A2D11" w:rsidRPr="00E02A9A" w:rsidRDefault="005A2D11" w:rsidP="005A2D11">
      <w:pPr>
        <w:spacing w:after="0" w:line="259" w:lineRule="auto"/>
        <w:jc w:val="both"/>
        <w:rPr>
          <w:rFonts w:cstheme="minorHAnsi"/>
          <w:color w:val="FF0000"/>
          <w:sz w:val="24"/>
          <w:szCs w:val="24"/>
        </w:rPr>
      </w:pPr>
    </w:p>
    <w:p w:rsidR="005A2D11" w:rsidRPr="00E02A9A" w:rsidRDefault="005A2D11" w:rsidP="005A2D11">
      <w:pPr>
        <w:spacing w:after="0" w:line="259" w:lineRule="auto"/>
        <w:jc w:val="both"/>
        <w:rPr>
          <w:rFonts w:eastAsia="Times New Roman" w:cstheme="minorHAnsi"/>
          <w:color w:val="FF0000"/>
          <w:sz w:val="24"/>
          <w:szCs w:val="24"/>
          <w:lang w:eastAsia="fr-BE"/>
        </w:rPr>
      </w:pPr>
      <w:r w:rsidRPr="00E02A9A">
        <w:rPr>
          <w:rFonts w:cstheme="minorHAnsi"/>
          <w:color w:val="FF0000"/>
          <w:sz w:val="24"/>
          <w:szCs w:val="24"/>
        </w:rPr>
        <w:t xml:space="preserve">3. En Italie, </w:t>
      </w:r>
      <w:r w:rsidRPr="00E02A9A">
        <w:rPr>
          <w:rFonts w:eastAsia="Times New Roman" w:cstheme="minorHAnsi"/>
          <w:color w:val="FF0000"/>
          <w:sz w:val="24"/>
          <w:szCs w:val="24"/>
          <w:lang w:eastAsia="fr-BE"/>
        </w:rPr>
        <w:t xml:space="preserve">les migrations ont contribué à la réduction du rythme du vieillissement entre 2002 et 2010, mais n’ont pas été suffisantes pour renverser la tendance, ni même stopper le processus de vieillissement de la population. </w:t>
      </w: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Default="005A2D11" w:rsidP="009862F9">
      <w:pPr>
        <w:tabs>
          <w:tab w:val="left" w:pos="1695"/>
        </w:tabs>
        <w:jc w:val="both"/>
        <w:rPr>
          <w:color w:val="FF0000"/>
        </w:rPr>
      </w:pPr>
    </w:p>
    <w:p w:rsidR="005A2D11" w:rsidRPr="00E02A9A" w:rsidRDefault="005A2D11" w:rsidP="005A2D11">
      <w:pPr>
        <w:spacing w:after="0"/>
        <w:jc w:val="both"/>
        <w:rPr>
          <w:b/>
          <w:color w:val="FF0000"/>
          <w:sz w:val="24"/>
          <w:szCs w:val="24"/>
        </w:rPr>
      </w:pPr>
      <w:r w:rsidRPr="00E02A9A">
        <w:rPr>
          <w:b/>
          <w:color w:val="FF0000"/>
          <w:sz w:val="24"/>
          <w:szCs w:val="24"/>
        </w:rPr>
        <w:lastRenderedPageBreak/>
        <w:t xml:space="preserve">Corrigé de la page 33, partie 1 (étude de documents) : </w:t>
      </w:r>
    </w:p>
    <w:p w:rsidR="00C80879" w:rsidRDefault="00C80879" w:rsidP="005A2D11">
      <w:pPr>
        <w:spacing w:after="0"/>
        <w:jc w:val="both"/>
        <w:rPr>
          <w:color w:val="FF0000"/>
        </w:rPr>
      </w:pPr>
    </w:p>
    <w:p w:rsidR="00C80879" w:rsidRDefault="00C80879" w:rsidP="005A2D11">
      <w:pPr>
        <w:spacing w:after="0"/>
        <w:jc w:val="both"/>
        <w:rPr>
          <w:color w:val="FF0000"/>
        </w:rPr>
      </w:pPr>
      <w:r>
        <w:rPr>
          <w:color w:val="FF0000"/>
        </w:rPr>
        <w:t xml:space="preserve">Lire la fiche Savoir portant sur les pyramides, avant de réaliser les exercices. </w:t>
      </w:r>
    </w:p>
    <w:p w:rsidR="005A2D11" w:rsidRDefault="005A2D11" w:rsidP="009862F9">
      <w:pPr>
        <w:tabs>
          <w:tab w:val="left" w:pos="1695"/>
        </w:tabs>
        <w:jc w:val="both"/>
        <w:rPr>
          <w:color w:val="FF0000"/>
        </w:rPr>
      </w:pPr>
    </w:p>
    <w:p w:rsidR="005A2D11" w:rsidRPr="005A2D11" w:rsidRDefault="005A2D11" w:rsidP="005A2D11">
      <w:pPr>
        <w:spacing w:after="0" w:line="240" w:lineRule="auto"/>
        <w:jc w:val="both"/>
        <w:rPr>
          <w:b/>
          <w:color w:val="FF0000"/>
          <w:sz w:val="24"/>
          <w:szCs w:val="24"/>
        </w:rPr>
      </w:pPr>
      <w:r w:rsidRPr="005A2D11">
        <w:rPr>
          <w:b/>
          <w:color w:val="FF0000"/>
          <w:sz w:val="24"/>
          <w:szCs w:val="24"/>
        </w:rPr>
        <w:t>A. Allemagne</w:t>
      </w:r>
    </w:p>
    <w:p w:rsidR="005A2D11" w:rsidRPr="005A2D11" w:rsidRDefault="005A2D11" w:rsidP="005A2D11">
      <w:pPr>
        <w:spacing w:after="0" w:line="240" w:lineRule="auto"/>
        <w:jc w:val="both"/>
        <w:rPr>
          <w:b/>
          <w:color w:val="FF0000"/>
          <w:sz w:val="24"/>
          <w:szCs w:val="24"/>
        </w:rPr>
      </w:pPr>
    </w:p>
    <w:p w:rsidR="005A2D11" w:rsidRPr="005A2D11" w:rsidRDefault="005A2D11" w:rsidP="005A2D11">
      <w:pPr>
        <w:spacing w:after="0" w:line="240" w:lineRule="auto"/>
        <w:jc w:val="both"/>
        <w:rPr>
          <w:color w:val="FF0000"/>
          <w:sz w:val="24"/>
          <w:szCs w:val="24"/>
        </w:rPr>
      </w:pPr>
      <w:r w:rsidRPr="005A2D11">
        <w:rPr>
          <w:color w:val="FF0000"/>
          <w:sz w:val="24"/>
          <w:szCs w:val="24"/>
        </w:rPr>
        <w:t xml:space="preserve">La pyramide des âges de l’Allemagne en 2013 a une </w:t>
      </w:r>
      <w:r w:rsidRPr="005A2D11">
        <w:rPr>
          <w:color w:val="FF0000"/>
          <w:sz w:val="24"/>
          <w:szCs w:val="24"/>
          <w:u w:val="single"/>
        </w:rPr>
        <w:t>forme en toit de pagode</w:t>
      </w:r>
      <w:r w:rsidRPr="005A2D11">
        <w:rPr>
          <w:color w:val="FF0000"/>
          <w:sz w:val="24"/>
          <w:szCs w:val="24"/>
        </w:rPr>
        <w:t xml:space="preserve">. </w:t>
      </w:r>
    </w:p>
    <w:p w:rsidR="005A2D11" w:rsidRPr="005A2D11" w:rsidRDefault="005A2D11" w:rsidP="005A2D11">
      <w:pPr>
        <w:spacing w:after="0" w:line="240" w:lineRule="auto"/>
        <w:jc w:val="both"/>
        <w:rPr>
          <w:color w:val="FF0000"/>
          <w:sz w:val="24"/>
          <w:szCs w:val="24"/>
        </w:rPr>
      </w:pPr>
      <w:r w:rsidRPr="005A2D11">
        <w:rPr>
          <w:color w:val="FF0000"/>
          <w:sz w:val="24"/>
          <w:szCs w:val="24"/>
        </w:rPr>
        <w:t xml:space="preserve">Cette forme est caractérisée par la diminution de la natalité. </w:t>
      </w:r>
    </w:p>
    <w:p w:rsidR="005A2D11" w:rsidRPr="005A2D11" w:rsidRDefault="005A2D11" w:rsidP="005A2D11">
      <w:pPr>
        <w:spacing w:after="0" w:line="240" w:lineRule="auto"/>
        <w:jc w:val="both"/>
        <w:rPr>
          <w:b/>
          <w:color w:val="FF0000"/>
          <w:sz w:val="24"/>
          <w:szCs w:val="24"/>
        </w:rPr>
      </w:pPr>
    </w:p>
    <w:p w:rsidR="005A2D11" w:rsidRPr="005A2D11" w:rsidRDefault="005A2D11" w:rsidP="005A2D11">
      <w:pPr>
        <w:spacing w:after="0" w:line="240" w:lineRule="auto"/>
        <w:jc w:val="both"/>
        <w:rPr>
          <w:color w:val="FF0000"/>
          <w:sz w:val="24"/>
          <w:szCs w:val="24"/>
        </w:rPr>
      </w:pPr>
      <w:r w:rsidRPr="005A2D11">
        <w:rPr>
          <w:color w:val="FF0000"/>
          <w:sz w:val="24"/>
          <w:szCs w:val="24"/>
        </w:rPr>
        <w:t>Oui, il y a un déséquilibre entre les sexes.</w:t>
      </w:r>
    </w:p>
    <w:p w:rsidR="005A2D11" w:rsidRPr="005A2D11" w:rsidRDefault="005A2D11" w:rsidP="005A2D11">
      <w:pPr>
        <w:spacing w:after="0" w:line="240" w:lineRule="auto"/>
        <w:jc w:val="both"/>
        <w:rPr>
          <w:color w:val="FF0000"/>
          <w:sz w:val="24"/>
          <w:szCs w:val="24"/>
        </w:rPr>
      </w:pPr>
    </w:p>
    <w:p w:rsidR="005A2D11" w:rsidRPr="005A2D11" w:rsidRDefault="005A2D11" w:rsidP="005A2D11">
      <w:pPr>
        <w:spacing w:after="0" w:line="240" w:lineRule="auto"/>
        <w:jc w:val="both"/>
        <w:rPr>
          <w:color w:val="FF0000"/>
          <w:sz w:val="24"/>
          <w:szCs w:val="24"/>
        </w:rPr>
      </w:pPr>
      <w:r w:rsidRPr="005A2D11">
        <w:rPr>
          <w:color w:val="FF0000"/>
          <w:sz w:val="24"/>
          <w:szCs w:val="24"/>
        </w:rPr>
        <w:t>A partir de la tranche d’âge 65 – 69 ans, il y a un déséquilibre entre les sexes. Ce déséquilibre se caractérise par la présence de plus de femmes que d’hommes.</w:t>
      </w:r>
    </w:p>
    <w:p w:rsidR="005A2D11" w:rsidRPr="005A2D11" w:rsidRDefault="005A2D11" w:rsidP="005A2D11">
      <w:pPr>
        <w:spacing w:after="0" w:line="240" w:lineRule="auto"/>
        <w:jc w:val="both"/>
        <w:rPr>
          <w:color w:val="FF0000"/>
          <w:sz w:val="24"/>
          <w:szCs w:val="24"/>
        </w:rPr>
      </w:pPr>
    </w:p>
    <w:p w:rsidR="005A2D11" w:rsidRPr="005A2D11" w:rsidRDefault="005A2D11" w:rsidP="005A2D11">
      <w:pPr>
        <w:spacing w:after="0" w:line="240" w:lineRule="auto"/>
        <w:jc w:val="both"/>
        <w:rPr>
          <w:color w:val="FF0000"/>
          <w:sz w:val="24"/>
          <w:szCs w:val="24"/>
        </w:rPr>
      </w:pPr>
      <w:r w:rsidRPr="005A2D11">
        <w:rPr>
          <w:color w:val="FF0000"/>
          <w:sz w:val="24"/>
          <w:szCs w:val="24"/>
        </w:rPr>
        <w:t>Hypothèse : Ce déséquilibre s’explique par une mortalité d’hommes plus importante que celle des femmes.</w:t>
      </w:r>
    </w:p>
    <w:p w:rsidR="005A2D11" w:rsidRPr="005A2D11" w:rsidRDefault="005A2D11" w:rsidP="005A2D11">
      <w:pPr>
        <w:spacing w:after="0" w:line="240" w:lineRule="auto"/>
        <w:jc w:val="both"/>
        <w:rPr>
          <w:color w:val="FF0000"/>
          <w:sz w:val="24"/>
          <w:szCs w:val="24"/>
        </w:rPr>
      </w:pPr>
    </w:p>
    <w:p w:rsidR="005A2D11" w:rsidRPr="005A2D11" w:rsidRDefault="005A2D11" w:rsidP="005A2D11">
      <w:pPr>
        <w:spacing w:after="0" w:line="240" w:lineRule="auto"/>
        <w:jc w:val="both"/>
        <w:rPr>
          <w:color w:val="FF0000"/>
          <w:sz w:val="24"/>
          <w:szCs w:val="24"/>
        </w:rPr>
      </w:pPr>
      <w:r w:rsidRPr="005A2D11">
        <w:rPr>
          <w:color w:val="FF0000"/>
          <w:sz w:val="24"/>
          <w:szCs w:val="24"/>
        </w:rPr>
        <w:t>Vieillissante.</w:t>
      </w:r>
    </w:p>
    <w:p w:rsidR="005A2D11" w:rsidRPr="005A2D11" w:rsidRDefault="005A2D11" w:rsidP="005A2D11">
      <w:pPr>
        <w:spacing w:after="0" w:line="240" w:lineRule="auto"/>
        <w:jc w:val="both"/>
        <w:rPr>
          <w:color w:val="FF0000"/>
          <w:sz w:val="24"/>
          <w:szCs w:val="24"/>
        </w:rPr>
      </w:pPr>
    </w:p>
    <w:p w:rsidR="005A2D11" w:rsidRPr="005A2D11" w:rsidRDefault="005A2D11" w:rsidP="005A2D11">
      <w:pPr>
        <w:spacing w:after="0" w:line="240" w:lineRule="auto"/>
        <w:jc w:val="both"/>
        <w:rPr>
          <w:b/>
          <w:color w:val="FF0000"/>
          <w:sz w:val="24"/>
          <w:szCs w:val="24"/>
        </w:rPr>
      </w:pPr>
      <w:r w:rsidRPr="005A2D11">
        <w:rPr>
          <w:b/>
          <w:color w:val="FF0000"/>
          <w:sz w:val="24"/>
          <w:szCs w:val="24"/>
        </w:rPr>
        <w:t xml:space="preserve">B. Turquie </w:t>
      </w:r>
    </w:p>
    <w:p w:rsidR="005A2D11" w:rsidRPr="005A2D11" w:rsidRDefault="005A2D11" w:rsidP="005A2D11">
      <w:pPr>
        <w:spacing w:after="0" w:line="240" w:lineRule="auto"/>
        <w:jc w:val="both"/>
        <w:rPr>
          <w:color w:val="FF0000"/>
          <w:sz w:val="24"/>
          <w:szCs w:val="24"/>
        </w:rPr>
      </w:pPr>
    </w:p>
    <w:p w:rsidR="005A2D11" w:rsidRPr="005A2D11" w:rsidRDefault="005A2D11" w:rsidP="005A2D11">
      <w:pPr>
        <w:spacing w:after="0" w:line="240" w:lineRule="auto"/>
        <w:jc w:val="both"/>
        <w:rPr>
          <w:color w:val="FF0000"/>
          <w:sz w:val="24"/>
          <w:szCs w:val="24"/>
        </w:rPr>
      </w:pPr>
      <w:r w:rsidRPr="005A2D11">
        <w:rPr>
          <w:color w:val="FF0000"/>
          <w:sz w:val="24"/>
          <w:szCs w:val="24"/>
        </w:rPr>
        <w:t>La tranche d’âge la plus importante est la tranche d’âge 20 – 64 ans.</w:t>
      </w:r>
    </w:p>
    <w:p w:rsidR="005A2D11" w:rsidRPr="005A2D11" w:rsidRDefault="005A2D11" w:rsidP="005A2D11">
      <w:pPr>
        <w:spacing w:after="0" w:line="240" w:lineRule="auto"/>
        <w:jc w:val="both"/>
        <w:rPr>
          <w:color w:val="FF0000"/>
          <w:sz w:val="24"/>
          <w:szCs w:val="24"/>
        </w:rPr>
      </w:pPr>
    </w:p>
    <w:p w:rsidR="005A2D11" w:rsidRPr="005A2D11" w:rsidRDefault="005A2D11" w:rsidP="005A2D11">
      <w:pPr>
        <w:spacing w:after="0" w:line="240" w:lineRule="auto"/>
        <w:jc w:val="both"/>
        <w:rPr>
          <w:color w:val="FF0000"/>
          <w:sz w:val="24"/>
          <w:szCs w:val="24"/>
        </w:rPr>
      </w:pPr>
      <w:r w:rsidRPr="005A2D11">
        <w:rPr>
          <w:color w:val="FF0000"/>
          <w:sz w:val="24"/>
          <w:szCs w:val="24"/>
        </w:rPr>
        <w:t>Nous pouvons déduire que la population est plutôt jeune.</w:t>
      </w:r>
    </w:p>
    <w:p w:rsidR="005A2D11" w:rsidRPr="005A2D11" w:rsidRDefault="005A2D11" w:rsidP="005A2D11">
      <w:pPr>
        <w:spacing w:after="0" w:line="240" w:lineRule="auto"/>
        <w:jc w:val="both"/>
        <w:rPr>
          <w:color w:val="FF0000"/>
          <w:sz w:val="24"/>
          <w:szCs w:val="24"/>
        </w:rPr>
      </w:pPr>
    </w:p>
    <w:p w:rsidR="005A2D11" w:rsidRPr="005A2D11" w:rsidRDefault="005A2D11" w:rsidP="005A2D11">
      <w:pPr>
        <w:spacing w:after="0" w:line="240" w:lineRule="auto"/>
        <w:jc w:val="both"/>
        <w:rPr>
          <w:color w:val="FF0000"/>
          <w:sz w:val="24"/>
          <w:szCs w:val="24"/>
        </w:rPr>
      </w:pPr>
      <w:r w:rsidRPr="005A2D11">
        <w:rPr>
          <w:color w:val="FF0000"/>
          <w:sz w:val="24"/>
          <w:szCs w:val="24"/>
        </w:rPr>
        <w:t xml:space="preserve">La pyramide des âges de la Turquie en 2013 a une </w:t>
      </w:r>
      <w:r w:rsidRPr="005A2D11">
        <w:rPr>
          <w:color w:val="FF0000"/>
          <w:sz w:val="24"/>
          <w:szCs w:val="24"/>
          <w:u w:val="single"/>
        </w:rPr>
        <w:t>forme en toit de pagode</w:t>
      </w:r>
      <w:r w:rsidRPr="005A2D11">
        <w:rPr>
          <w:color w:val="FF0000"/>
          <w:sz w:val="24"/>
          <w:szCs w:val="24"/>
        </w:rPr>
        <w:t xml:space="preserve">. </w:t>
      </w:r>
    </w:p>
    <w:p w:rsidR="005A2D11" w:rsidRPr="005A2D11" w:rsidRDefault="005A2D11" w:rsidP="005A2D11">
      <w:pPr>
        <w:spacing w:after="0" w:line="240" w:lineRule="auto"/>
        <w:jc w:val="both"/>
        <w:rPr>
          <w:color w:val="FF0000"/>
          <w:sz w:val="24"/>
          <w:szCs w:val="24"/>
        </w:rPr>
      </w:pPr>
      <w:r w:rsidRPr="005A2D11">
        <w:rPr>
          <w:color w:val="FF0000"/>
          <w:sz w:val="24"/>
          <w:szCs w:val="24"/>
        </w:rPr>
        <w:t>Cette forme est caractérisée par la diminution de la natalité. Cependant, dans le cas de la Turquie le vieillissement de la population est beaucoup plus faible que celui de l’Allemagne.</w:t>
      </w:r>
    </w:p>
    <w:p w:rsidR="005A2D11" w:rsidRPr="005A2D11" w:rsidRDefault="005A2D11" w:rsidP="005A2D11">
      <w:pPr>
        <w:spacing w:after="0" w:line="240" w:lineRule="auto"/>
        <w:jc w:val="both"/>
        <w:rPr>
          <w:color w:val="FF0000"/>
          <w:sz w:val="24"/>
          <w:szCs w:val="24"/>
        </w:rPr>
      </w:pPr>
    </w:p>
    <w:p w:rsidR="005A2D11" w:rsidRPr="005A2D11" w:rsidRDefault="005A2D11" w:rsidP="005A2D11">
      <w:pPr>
        <w:spacing w:after="0" w:line="240" w:lineRule="auto"/>
        <w:jc w:val="both"/>
        <w:rPr>
          <w:b/>
          <w:color w:val="FF0000"/>
          <w:sz w:val="24"/>
          <w:szCs w:val="24"/>
        </w:rPr>
      </w:pPr>
      <w:r w:rsidRPr="005A2D11">
        <w:rPr>
          <w:b/>
          <w:color w:val="FF0000"/>
          <w:sz w:val="24"/>
          <w:szCs w:val="24"/>
        </w:rPr>
        <w:t xml:space="preserve">C. Maroc </w:t>
      </w:r>
    </w:p>
    <w:p w:rsidR="005A2D11" w:rsidRPr="005A2D11" w:rsidRDefault="005A2D11" w:rsidP="005A2D11">
      <w:pPr>
        <w:spacing w:after="0" w:line="240" w:lineRule="auto"/>
        <w:jc w:val="both"/>
        <w:rPr>
          <w:color w:val="FF0000"/>
          <w:sz w:val="24"/>
          <w:szCs w:val="24"/>
        </w:rPr>
      </w:pPr>
    </w:p>
    <w:p w:rsidR="005A2D11" w:rsidRPr="005A2D11" w:rsidRDefault="005A2D11" w:rsidP="005A2D11">
      <w:pPr>
        <w:spacing w:after="0" w:line="240" w:lineRule="auto"/>
        <w:jc w:val="both"/>
        <w:rPr>
          <w:color w:val="FF0000"/>
          <w:sz w:val="24"/>
          <w:szCs w:val="24"/>
        </w:rPr>
      </w:pPr>
      <w:r w:rsidRPr="005A2D11">
        <w:rPr>
          <w:color w:val="FF0000"/>
          <w:sz w:val="24"/>
          <w:szCs w:val="24"/>
        </w:rPr>
        <w:t>La tranche d’âge la plus importante est la tranche d’âge 20 – 64 ans.</w:t>
      </w:r>
    </w:p>
    <w:p w:rsidR="005A2D11" w:rsidRPr="005A2D11" w:rsidRDefault="005A2D11" w:rsidP="005A2D11">
      <w:pPr>
        <w:spacing w:after="0" w:line="240" w:lineRule="auto"/>
        <w:jc w:val="both"/>
        <w:rPr>
          <w:color w:val="FF0000"/>
          <w:sz w:val="24"/>
          <w:szCs w:val="24"/>
        </w:rPr>
      </w:pPr>
    </w:p>
    <w:p w:rsidR="005A2D11" w:rsidRPr="005A2D11" w:rsidRDefault="005A2D11" w:rsidP="005A2D11">
      <w:pPr>
        <w:spacing w:after="0" w:line="240" w:lineRule="auto"/>
        <w:jc w:val="both"/>
        <w:rPr>
          <w:color w:val="FF0000"/>
          <w:sz w:val="24"/>
          <w:szCs w:val="24"/>
        </w:rPr>
      </w:pPr>
      <w:r w:rsidRPr="005A2D11">
        <w:rPr>
          <w:color w:val="FF0000"/>
          <w:sz w:val="24"/>
          <w:szCs w:val="24"/>
        </w:rPr>
        <w:t>Nous pouvons déduire que la population est plutôt jeune.</w:t>
      </w:r>
    </w:p>
    <w:p w:rsidR="005A2D11" w:rsidRPr="005A2D11" w:rsidRDefault="005A2D11" w:rsidP="005A2D11">
      <w:pPr>
        <w:spacing w:after="0" w:line="240" w:lineRule="auto"/>
        <w:jc w:val="both"/>
        <w:rPr>
          <w:color w:val="FF0000"/>
          <w:sz w:val="24"/>
          <w:szCs w:val="24"/>
        </w:rPr>
      </w:pPr>
    </w:p>
    <w:p w:rsidR="005A2D11" w:rsidRPr="005A2D11" w:rsidRDefault="005A2D11" w:rsidP="005A2D11">
      <w:pPr>
        <w:spacing w:after="0" w:line="240" w:lineRule="auto"/>
        <w:jc w:val="both"/>
        <w:rPr>
          <w:color w:val="FF0000"/>
          <w:sz w:val="24"/>
          <w:szCs w:val="24"/>
        </w:rPr>
      </w:pPr>
      <w:r w:rsidRPr="005A2D11">
        <w:rPr>
          <w:color w:val="FF0000"/>
          <w:sz w:val="24"/>
          <w:szCs w:val="24"/>
        </w:rPr>
        <w:t xml:space="preserve">La pyramide des âges du Maroc au 2017 a une </w:t>
      </w:r>
      <w:r w:rsidRPr="005A2D11">
        <w:rPr>
          <w:color w:val="FF0000"/>
          <w:sz w:val="24"/>
          <w:szCs w:val="24"/>
          <w:u w:val="single"/>
        </w:rPr>
        <w:t>forme en parasol</w:t>
      </w:r>
      <w:r w:rsidRPr="005A2D11">
        <w:rPr>
          <w:color w:val="FF0000"/>
          <w:sz w:val="24"/>
          <w:szCs w:val="24"/>
        </w:rPr>
        <w:t xml:space="preserve">. </w:t>
      </w:r>
    </w:p>
    <w:p w:rsidR="005A2D11" w:rsidRPr="005A2D11" w:rsidRDefault="005A2D11" w:rsidP="005A2D11">
      <w:pPr>
        <w:spacing w:after="0" w:line="240" w:lineRule="auto"/>
        <w:jc w:val="both"/>
        <w:rPr>
          <w:b/>
          <w:color w:val="FF0000"/>
          <w:sz w:val="24"/>
          <w:szCs w:val="24"/>
        </w:rPr>
      </w:pPr>
    </w:p>
    <w:p w:rsidR="005A2D11" w:rsidRPr="005A2D11" w:rsidRDefault="005A2D11" w:rsidP="005A2D11">
      <w:pPr>
        <w:spacing w:after="0" w:line="240" w:lineRule="auto"/>
        <w:jc w:val="both"/>
        <w:rPr>
          <w:color w:val="FF0000"/>
          <w:sz w:val="24"/>
          <w:szCs w:val="24"/>
        </w:rPr>
      </w:pPr>
      <w:r w:rsidRPr="005A2D11">
        <w:rPr>
          <w:color w:val="FF0000"/>
          <w:sz w:val="24"/>
          <w:szCs w:val="24"/>
        </w:rPr>
        <w:t xml:space="preserve">Cette forme est caractérisée par une très forte natalité. </w:t>
      </w:r>
    </w:p>
    <w:p w:rsidR="005A2D11" w:rsidRDefault="005A2D11" w:rsidP="009862F9">
      <w:pPr>
        <w:tabs>
          <w:tab w:val="left" w:pos="1695"/>
        </w:tabs>
        <w:jc w:val="both"/>
        <w:rPr>
          <w:color w:val="FF0000"/>
        </w:rPr>
      </w:pPr>
    </w:p>
    <w:p w:rsidR="00547B1B" w:rsidRDefault="00547B1B" w:rsidP="009862F9">
      <w:pPr>
        <w:tabs>
          <w:tab w:val="left" w:pos="1695"/>
        </w:tabs>
        <w:jc w:val="both"/>
        <w:rPr>
          <w:color w:val="FF0000"/>
        </w:rPr>
      </w:pPr>
    </w:p>
    <w:p w:rsidR="00547B1B" w:rsidRDefault="00547B1B" w:rsidP="009862F9">
      <w:pPr>
        <w:tabs>
          <w:tab w:val="left" w:pos="1695"/>
        </w:tabs>
        <w:jc w:val="both"/>
        <w:rPr>
          <w:color w:val="FF0000"/>
        </w:rPr>
      </w:pPr>
    </w:p>
    <w:p w:rsidR="00547B1B" w:rsidRDefault="00547B1B" w:rsidP="009862F9">
      <w:pPr>
        <w:tabs>
          <w:tab w:val="left" w:pos="1695"/>
        </w:tabs>
        <w:jc w:val="both"/>
        <w:rPr>
          <w:color w:val="FF0000"/>
        </w:rPr>
      </w:pPr>
    </w:p>
    <w:p w:rsidR="00547B1B" w:rsidRDefault="00547B1B" w:rsidP="009862F9">
      <w:pPr>
        <w:tabs>
          <w:tab w:val="left" w:pos="1695"/>
        </w:tabs>
        <w:jc w:val="both"/>
        <w:rPr>
          <w:color w:val="FF0000"/>
        </w:rPr>
      </w:pPr>
    </w:p>
    <w:p w:rsidR="00E02A9A" w:rsidRDefault="00E02A9A" w:rsidP="00547B1B">
      <w:pPr>
        <w:spacing w:after="0"/>
        <w:jc w:val="both"/>
        <w:rPr>
          <w:color w:val="FF0000"/>
        </w:rPr>
      </w:pPr>
    </w:p>
    <w:p w:rsidR="00547B1B" w:rsidRPr="00E02A9A" w:rsidRDefault="00547B1B" w:rsidP="00547B1B">
      <w:pPr>
        <w:spacing w:after="0"/>
        <w:jc w:val="both"/>
        <w:rPr>
          <w:b/>
          <w:color w:val="FF0000"/>
          <w:sz w:val="24"/>
          <w:szCs w:val="24"/>
        </w:rPr>
      </w:pPr>
      <w:bookmarkStart w:id="0" w:name="_GoBack"/>
      <w:bookmarkEnd w:id="0"/>
      <w:r w:rsidRPr="00E02A9A">
        <w:rPr>
          <w:b/>
          <w:color w:val="FF0000"/>
          <w:sz w:val="24"/>
          <w:szCs w:val="24"/>
        </w:rPr>
        <w:lastRenderedPageBreak/>
        <w:t xml:space="preserve">Corrigé de la page 21, partie 2 (fiches Savoirs) : </w:t>
      </w:r>
    </w:p>
    <w:p w:rsidR="00547B1B" w:rsidRDefault="00547B1B" w:rsidP="009862F9">
      <w:pPr>
        <w:tabs>
          <w:tab w:val="left" w:pos="1695"/>
        </w:tabs>
        <w:jc w:val="both"/>
        <w:rPr>
          <w:color w:val="FF0000"/>
        </w:rPr>
      </w:pPr>
    </w:p>
    <w:p w:rsidR="00656F01" w:rsidRPr="00A723B7" w:rsidRDefault="00656F01" w:rsidP="00656F01">
      <w:pPr>
        <w:pStyle w:val="Titre1"/>
        <w:tabs>
          <w:tab w:val="left" w:pos="854"/>
        </w:tabs>
        <w:spacing w:before="0"/>
        <w:ind w:left="492"/>
        <w:jc w:val="both"/>
        <w:rPr>
          <w:rFonts w:asciiTheme="minorHAnsi" w:hAnsiTheme="minorHAnsi" w:cstheme="minorHAnsi"/>
          <w:sz w:val="22"/>
          <w:szCs w:val="22"/>
        </w:rPr>
      </w:pPr>
      <w:r w:rsidRPr="006E40B5">
        <w:rPr>
          <w:rFonts w:asciiTheme="minorHAnsi" w:hAnsiTheme="minorHAnsi" w:cstheme="minorHAnsi"/>
          <w:sz w:val="22"/>
          <w:szCs w:val="22"/>
        </w:rPr>
        <w:t>Lien internet </w:t>
      </w:r>
      <w:r>
        <w:rPr>
          <w:rFonts w:asciiTheme="minorHAnsi" w:hAnsiTheme="minorHAnsi" w:cstheme="minorHAnsi"/>
          <w:sz w:val="22"/>
          <w:szCs w:val="22"/>
        </w:rPr>
        <w:t xml:space="preserve">de la vidéo </w:t>
      </w:r>
      <w:r w:rsidRPr="006E40B5">
        <w:rPr>
          <w:rFonts w:asciiTheme="minorHAnsi" w:hAnsiTheme="minorHAnsi" w:cstheme="minorHAnsi"/>
          <w:sz w:val="22"/>
          <w:szCs w:val="22"/>
        </w:rPr>
        <w:t xml:space="preserve">: </w:t>
      </w:r>
      <w:hyperlink r:id="rId6" w:history="1">
        <w:r w:rsidRPr="006E40B5">
          <w:rPr>
            <w:rStyle w:val="Lienhypertexte"/>
            <w:rFonts w:asciiTheme="minorHAnsi" w:hAnsiTheme="minorHAnsi" w:cstheme="minorHAnsi"/>
            <w:sz w:val="22"/>
            <w:szCs w:val="22"/>
          </w:rPr>
          <w:t>https://www.lemonde.fr/proche-orient/video/2015/10/27/comprendre-la-situation-en-syrie-en-5-minutes_4798012_3218.html</w:t>
        </w:r>
      </w:hyperlink>
      <w:r w:rsidRPr="00A723B7">
        <w:t xml:space="preserve"> </w:t>
      </w:r>
    </w:p>
    <w:p w:rsidR="00656F01" w:rsidRDefault="00656F01" w:rsidP="009862F9">
      <w:pPr>
        <w:tabs>
          <w:tab w:val="left" w:pos="1695"/>
        </w:tabs>
        <w:jc w:val="both"/>
        <w:rPr>
          <w:color w:val="FF0000"/>
        </w:rPr>
      </w:pPr>
    </w:p>
    <w:p w:rsidR="00547B1B" w:rsidRPr="00547B1B" w:rsidRDefault="00547B1B" w:rsidP="00547B1B">
      <w:pPr>
        <w:pStyle w:val="TableParagraph"/>
        <w:jc w:val="both"/>
        <w:rPr>
          <w:rFonts w:asciiTheme="minorHAnsi" w:hAnsiTheme="minorHAnsi" w:cstheme="minorHAnsi"/>
          <w:color w:val="FF0000"/>
        </w:rPr>
      </w:pPr>
      <w:r w:rsidRPr="00547B1B">
        <w:rPr>
          <w:rFonts w:asciiTheme="minorHAnsi" w:hAnsiTheme="minorHAnsi" w:cstheme="minorHAnsi"/>
          <w:b/>
          <w:color w:val="FF0000"/>
          <w:w w:val="95"/>
        </w:rPr>
        <w:t xml:space="preserve">Acteurs : </w:t>
      </w:r>
      <w:r w:rsidRPr="00547B1B">
        <w:rPr>
          <w:rFonts w:asciiTheme="minorHAnsi" w:hAnsiTheme="minorHAnsi" w:cstheme="minorHAnsi"/>
          <w:color w:val="FF0000"/>
          <w:w w:val="95"/>
          <w:u w:val="single"/>
        </w:rPr>
        <w:t xml:space="preserve">Le régime de </w:t>
      </w:r>
      <w:proofErr w:type="spellStart"/>
      <w:r w:rsidRPr="00547B1B">
        <w:rPr>
          <w:rFonts w:asciiTheme="minorHAnsi" w:hAnsiTheme="minorHAnsi" w:cstheme="minorHAnsi"/>
          <w:color w:val="FF0000"/>
          <w:w w:val="95"/>
          <w:u w:val="single"/>
        </w:rPr>
        <w:t>Bachar</w:t>
      </w:r>
      <w:proofErr w:type="spellEnd"/>
      <w:r w:rsidRPr="00547B1B">
        <w:rPr>
          <w:rFonts w:asciiTheme="minorHAnsi" w:hAnsiTheme="minorHAnsi" w:cstheme="minorHAnsi"/>
          <w:color w:val="FF0000"/>
          <w:w w:val="95"/>
          <w:u w:val="single"/>
        </w:rPr>
        <w:t xml:space="preserve"> el-Assad</w:t>
      </w:r>
      <w:r w:rsidRPr="00547B1B">
        <w:rPr>
          <w:rFonts w:asciiTheme="minorHAnsi" w:hAnsiTheme="minorHAnsi" w:cstheme="minorHAnsi"/>
          <w:color w:val="FF0000"/>
          <w:w w:val="95"/>
        </w:rPr>
        <w:t xml:space="preserve">. </w:t>
      </w:r>
    </w:p>
    <w:p w:rsidR="00547B1B" w:rsidRPr="00547B1B" w:rsidRDefault="00547B1B" w:rsidP="00547B1B">
      <w:pPr>
        <w:pStyle w:val="TableParagraph"/>
        <w:jc w:val="both"/>
        <w:rPr>
          <w:rFonts w:asciiTheme="minorHAnsi" w:hAnsiTheme="minorHAnsi" w:cstheme="minorHAnsi"/>
          <w:b/>
          <w:color w:val="FF0000"/>
        </w:rPr>
      </w:pPr>
      <w:r w:rsidRPr="00547B1B">
        <w:rPr>
          <w:rFonts w:asciiTheme="minorHAnsi" w:hAnsiTheme="minorHAnsi" w:cstheme="minorHAnsi"/>
          <w:b/>
          <w:color w:val="FF0000"/>
          <w:w w:val="95"/>
        </w:rPr>
        <w:t xml:space="preserve">Objectifs : </w:t>
      </w:r>
      <w:r w:rsidRPr="00547B1B">
        <w:rPr>
          <w:rFonts w:asciiTheme="minorHAnsi" w:hAnsiTheme="minorHAnsi" w:cstheme="minorHAnsi"/>
          <w:color w:val="FF0000"/>
          <w:w w:val="95"/>
        </w:rPr>
        <w:t xml:space="preserve">Le régime est déterminé à garder le pouvoir. </w:t>
      </w:r>
    </w:p>
    <w:p w:rsidR="00547B1B" w:rsidRPr="00547B1B" w:rsidRDefault="00547B1B" w:rsidP="00547B1B">
      <w:pPr>
        <w:jc w:val="both"/>
        <w:rPr>
          <w:rFonts w:cstheme="minorHAnsi"/>
          <w:color w:val="FF0000"/>
          <w:w w:val="95"/>
        </w:rPr>
      </w:pPr>
      <w:r w:rsidRPr="00547B1B">
        <w:rPr>
          <w:rFonts w:cstheme="minorHAnsi"/>
          <w:b/>
          <w:color w:val="FF0000"/>
          <w:w w:val="95"/>
        </w:rPr>
        <w:t xml:space="preserve">Alliés : </w:t>
      </w:r>
      <w:r w:rsidRPr="00547B1B">
        <w:rPr>
          <w:rFonts w:cstheme="minorHAnsi"/>
          <w:color w:val="FF0000"/>
          <w:w w:val="95"/>
          <w:u w:val="single"/>
        </w:rPr>
        <w:t>L’Irak</w:t>
      </w:r>
      <w:r w:rsidRPr="00547B1B">
        <w:rPr>
          <w:rFonts w:cstheme="minorHAnsi"/>
          <w:color w:val="FF0000"/>
          <w:w w:val="95"/>
        </w:rPr>
        <w:t xml:space="preserve">, </w:t>
      </w:r>
      <w:r w:rsidRPr="00547B1B">
        <w:rPr>
          <w:rFonts w:cstheme="minorHAnsi"/>
          <w:color w:val="FF0000"/>
          <w:w w:val="95"/>
          <w:u w:val="single"/>
        </w:rPr>
        <w:t xml:space="preserve">le </w:t>
      </w:r>
      <w:proofErr w:type="spellStart"/>
      <w:r w:rsidRPr="00547B1B">
        <w:rPr>
          <w:rFonts w:cstheme="minorHAnsi"/>
          <w:color w:val="FF0000"/>
          <w:w w:val="95"/>
          <w:u w:val="single"/>
        </w:rPr>
        <w:t>hezbollah</w:t>
      </w:r>
      <w:proofErr w:type="spellEnd"/>
      <w:r w:rsidRPr="00547B1B">
        <w:rPr>
          <w:rFonts w:cstheme="minorHAnsi"/>
          <w:color w:val="FF0000"/>
          <w:w w:val="95"/>
          <w:u w:val="single"/>
        </w:rPr>
        <w:t xml:space="preserve"> libanais</w:t>
      </w:r>
      <w:r w:rsidRPr="00547B1B">
        <w:rPr>
          <w:rFonts w:cstheme="minorHAnsi"/>
          <w:color w:val="FF0000"/>
          <w:w w:val="95"/>
        </w:rPr>
        <w:t xml:space="preserve"> et </w:t>
      </w:r>
      <w:r w:rsidRPr="00547B1B">
        <w:rPr>
          <w:rFonts w:cstheme="minorHAnsi"/>
          <w:color w:val="FF0000"/>
          <w:w w:val="95"/>
          <w:u w:val="single"/>
        </w:rPr>
        <w:t>l’Iran</w:t>
      </w:r>
      <w:r w:rsidRPr="00547B1B">
        <w:rPr>
          <w:rFonts w:cstheme="minorHAnsi"/>
          <w:color w:val="FF0000"/>
          <w:w w:val="95"/>
        </w:rPr>
        <w:t xml:space="preserve"> sont des acteurs chiites qui envoient des hommes combattre au côté du régime. La chute de l’allier syrien affaiblirait l’arc chiite au Moyen-Orient. </w:t>
      </w:r>
    </w:p>
    <w:p w:rsidR="00547B1B" w:rsidRPr="00547B1B" w:rsidRDefault="00547B1B" w:rsidP="00547B1B">
      <w:pPr>
        <w:jc w:val="both"/>
        <w:rPr>
          <w:rFonts w:cstheme="minorHAnsi"/>
          <w:color w:val="FF0000"/>
          <w:w w:val="95"/>
        </w:rPr>
      </w:pPr>
      <w:r w:rsidRPr="00547B1B">
        <w:rPr>
          <w:rFonts w:cstheme="minorHAnsi"/>
          <w:color w:val="FF0000"/>
          <w:w w:val="95"/>
        </w:rPr>
        <w:t xml:space="preserve">Le régime syrien bénéficie du soutien de </w:t>
      </w:r>
      <w:r w:rsidRPr="00547B1B">
        <w:rPr>
          <w:rFonts w:cstheme="minorHAnsi"/>
          <w:color w:val="FF0000"/>
          <w:w w:val="95"/>
          <w:u w:val="single"/>
        </w:rPr>
        <w:t>la Russie</w:t>
      </w:r>
      <w:r w:rsidRPr="00547B1B">
        <w:rPr>
          <w:rFonts w:cstheme="minorHAnsi"/>
          <w:color w:val="FF0000"/>
          <w:w w:val="95"/>
        </w:rPr>
        <w:t xml:space="preserve"> qui a pour objectifs de maintenir au pouvoir le président </w:t>
      </w:r>
      <w:proofErr w:type="spellStart"/>
      <w:r w:rsidRPr="00547B1B">
        <w:rPr>
          <w:rFonts w:cstheme="minorHAnsi"/>
          <w:color w:val="FF0000"/>
          <w:w w:val="95"/>
        </w:rPr>
        <w:t>Bachar</w:t>
      </w:r>
      <w:proofErr w:type="spellEnd"/>
      <w:r w:rsidRPr="00547B1B">
        <w:rPr>
          <w:rFonts w:cstheme="minorHAnsi"/>
          <w:color w:val="FF0000"/>
          <w:w w:val="95"/>
        </w:rPr>
        <w:t>, seul allié qui lui reste dans la région. Conserver sa base navale en méditerranée (Tartous) et limiter l’expansion de l’Etat islamique pour éviter le retour sur son sol de djihadistes tchéchène ayant combattus dans ces rangs.</w:t>
      </w:r>
    </w:p>
    <w:p w:rsidR="00547B1B" w:rsidRPr="00547B1B" w:rsidRDefault="00547B1B" w:rsidP="00547B1B">
      <w:pPr>
        <w:pStyle w:val="TableParagraph"/>
        <w:jc w:val="both"/>
        <w:rPr>
          <w:rFonts w:asciiTheme="minorHAnsi" w:hAnsiTheme="minorHAnsi" w:cstheme="minorHAnsi"/>
          <w:b/>
          <w:color w:val="FF0000"/>
          <w:w w:val="95"/>
        </w:rPr>
      </w:pPr>
    </w:p>
    <w:p w:rsidR="00547B1B" w:rsidRPr="00547B1B" w:rsidRDefault="00547B1B" w:rsidP="00547B1B">
      <w:pPr>
        <w:pStyle w:val="TableParagraph"/>
        <w:jc w:val="both"/>
        <w:rPr>
          <w:rFonts w:asciiTheme="minorHAnsi" w:hAnsiTheme="minorHAnsi" w:cstheme="minorHAnsi"/>
          <w:color w:val="FF0000"/>
        </w:rPr>
      </w:pPr>
      <w:r w:rsidRPr="00547B1B">
        <w:rPr>
          <w:rFonts w:asciiTheme="minorHAnsi" w:hAnsiTheme="minorHAnsi" w:cstheme="minorHAnsi"/>
          <w:b/>
          <w:color w:val="FF0000"/>
          <w:w w:val="95"/>
        </w:rPr>
        <w:t xml:space="preserve">Acteurs : </w:t>
      </w:r>
      <w:r w:rsidRPr="00547B1B">
        <w:rPr>
          <w:rFonts w:asciiTheme="minorHAnsi" w:hAnsiTheme="minorHAnsi" w:cstheme="minorHAnsi"/>
          <w:color w:val="FF0000"/>
          <w:w w:val="95"/>
          <w:u w:val="single"/>
        </w:rPr>
        <w:t>Les forces rebelles</w:t>
      </w:r>
      <w:r w:rsidRPr="00547B1B">
        <w:rPr>
          <w:rFonts w:asciiTheme="minorHAnsi" w:hAnsiTheme="minorHAnsi" w:cstheme="minorHAnsi"/>
          <w:color w:val="FF0000"/>
          <w:w w:val="95"/>
        </w:rPr>
        <w:t xml:space="preserve">, un ensemble hétérogène qui compte dans ces rangs des unités de </w:t>
      </w:r>
      <w:r w:rsidRPr="00547B1B">
        <w:rPr>
          <w:rFonts w:asciiTheme="minorHAnsi" w:hAnsiTheme="minorHAnsi" w:cstheme="minorHAnsi"/>
          <w:color w:val="FF0000"/>
          <w:w w:val="95"/>
          <w:u w:val="single"/>
        </w:rPr>
        <w:t>l’armée syrienne libre</w:t>
      </w:r>
      <w:r w:rsidRPr="00547B1B">
        <w:rPr>
          <w:rFonts w:asciiTheme="minorHAnsi" w:hAnsiTheme="minorHAnsi" w:cstheme="minorHAnsi"/>
          <w:color w:val="FF0000"/>
          <w:w w:val="95"/>
        </w:rPr>
        <w:t xml:space="preserve"> (l’aile modérée de l’insurrection), </w:t>
      </w:r>
      <w:r w:rsidRPr="00547B1B">
        <w:rPr>
          <w:rFonts w:asciiTheme="minorHAnsi" w:hAnsiTheme="minorHAnsi" w:cstheme="minorHAnsi"/>
          <w:color w:val="FF0000"/>
          <w:w w:val="95"/>
          <w:u w:val="single"/>
        </w:rPr>
        <w:t>le front Al-</w:t>
      </w:r>
      <w:proofErr w:type="spellStart"/>
      <w:r w:rsidRPr="00547B1B">
        <w:rPr>
          <w:rFonts w:asciiTheme="minorHAnsi" w:hAnsiTheme="minorHAnsi" w:cstheme="minorHAnsi"/>
          <w:color w:val="FF0000"/>
          <w:w w:val="95"/>
          <w:u w:val="single"/>
        </w:rPr>
        <w:t>Nosra</w:t>
      </w:r>
      <w:proofErr w:type="spellEnd"/>
      <w:r w:rsidRPr="00547B1B">
        <w:rPr>
          <w:rFonts w:asciiTheme="minorHAnsi" w:hAnsiTheme="minorHAnsi" w:cstheme="minorHAnsi"/>
          <w:color w:val="FF0000"/>
          <w:w w:val="95"/>
        </w:rPr>
        <w:t xml:space="preserve"> (la branche syrienne d’Al-Qaida), </w:t>
      </w:r>
      <w:proofErr w:type="spellStart"/>
      <w:r w:rsidRPr="00547B1B">
        <w:rPr>
          <w:rFonts w:asciiTheme="minorHAnsi" w:hAnsiTheme="minorHAnsi" w:cstheme="minorHAnsi"/>
          <w:color w:val="FF0000"/>
          <w:w w:val="95"/>
          <w:u w:val="single"/>
        </w:rPr>
        <w:t>Ahrah</w:t>
      </w:r>
      <w:proofErr w:type="spellEnd"/>
      <w:r w:rsidRPr="00547B1B">
        <w:rPr>
          <w:rFonts w:asciiTheme="minorHAnsi" w:hAnsiTheme="minorHAnsi" w:cstheme="minorHAnsi"/>
          <w:color w:val="FF0000"/>
          <w:w w:val="95"/>
          <w:u w:val="single"/>
        </w:rPr>
        <w:t xml:space="preserve"> al-Cham</w:t>
      </w:r>
      <w:r w:rsidRPr="00547B1B">
        <w:rPr>
          <w:rFonts w:asciiTheme="minorHAnsi" w:hAnsiTheme="minorHAnsi" w:cstheme="minorHAnsi"/>
          <w:color w:val="FF0000"/>
          <w:w w:val="95"/>
        </w:rPr>
        <w:t xml:space="preserve"> (un groupe islamiste).</w:t>
      </w:r>
    </w:p>
    <w:p w:rsidR="00547B1B" w:rsidRPr="00547B1B" w:rsidRDefault="00547B1B" w:rsidP="00547B1B">
      <w:pPr>
        <w:pStyle w:val="TableParagraph"/>
        <w:jc w:val="both"/>
        <w:rPr>
          <w:rFonts w:asciiTheme="minorHAnsi" w:hAnsiTheme="minorHAnsi" w:cstheme="minorHAnsi"/>
          <w:color w:val="FF0000"/>
        </w:rPr>
      </w:pPr>
      <w:r w:rsidRPr="00547B1B">
        <w:rPr>
          <w:rFonts w:asciiTheme="minorHAnsi" w:hAnsiTheme="minorHAnsi" w:cstheme="minorHAnsi"/>
          <w:b/>
          <w:color w:val="FF0000"/>
          <w:w w:val="95"/>
        </w:rPr>
        <w:t xml:space="preserve">Objectifs : </w:t>
      </w:r>
      <w:r w:rsidRPr="00547B1B">
        <w:rPr>
          <w:rFonts w:asciiTheme="minorHAnsi" w:hAnsiTheme="minorHAnsi" w:cstheme="minorHAnsi"/>
          <w:color w:val="FF0000"/>
          <w:w w:val="95"/>
        </w:rPr>
        <w:t xml:space="preserve">Faire tomber le régime de </w:t>
      </w:r>
      <w:proofErr w:type="spellStart"/>
      <w:r w:rsidRPr="00547B1B">
        <w:rPr>
          <w:rFonts w:asciiTheme="minorHAnsi" w:hAnsiTheme="minorHAnsi" w:cstheme="minorHAnsi"/>
          <w:color w:val="FF0000"/>
          <w:w w:val="95"/>
        </w:rPr>
        <w:t>Bachar</w:t>
      </w:r>
      <w:proofErr w:type="spellEnd"/>
      <w:r w:rsidRPr="00547B1B">
        <w:rPr>
          <w:rFonts w:asciiTheme="minorHAnsi" w:hAnsiTheme="minorHAnsi" w:cstheme="minorHAnsi"/>
          <w:color w:val="FF0000"/>
          <w:w w:val="95"/>
        </w:rPr>
        <w:t xml:space="preserve"> el- Assad.</w:t>
      </w:r>
    </w:p>
    <w:p w:rsidR="00547B1B" w:rsidRPr="00547B1B" w:rsidRDefault="00547B1B" w:rsidP="00547B1B">
      <w:pPr>
        <w:jc w:val="both"/>
        <w:rPr>
          <w:rFonts w:cstheme="minorHAnsi"/>
          <w:color w:val="FF0000"/>
          <w:w w:val="95"/>
        </w:rPr>
      </w:pPr>
      <w:r w:rsidRPr="00547B1B">
        <w:rPr>
          <w:rFonts w:cstheme="minorHAnsi"/>
          <w:b/>
          <w:color w:val="FF0000"/>
          <w:w w:val="95"/>
        </w:rPr>
        <w:t xml:space="preserve">Alliés : </w:t>
      </w:r>
      <w:r w:rsidRPr="00547B1B">
        <w:rPr>
          <w:rFonts w:cstheme="minorHAnsi"/>
          <w:color w:val="FF0000"/>
          <w:w w:val="95"/>
          <w:u w:val="single"/>
        </w:rPr>
        <w:t>La Turquie</w:t>
      </w:r>
      <w:r w:rsidRPr="00547B1B">
        <w:rPr>
          <w:rFonts w:cstheme="minorHAnsi"/>
          <w:color w:val="FF0000"/>
          <w:w w:val="95"/>
        </w:rPr>
        <w:t xml:space="preserve">, </w:t>
      </w:r>
      <w:r w:rsidRPr="00547B1B">
        <w:rPr>
          <w:rFonts w:cstheme="minorHAnsi"/>
          <w:color w:val="FF0000"/>
          <w:w w:val="95"/>
          <w:u w:val="single"/>
        </w:rPr>
        <w:t>la Jordanie</w:t>
      </w:r>
      <w:r w:rsidRPr="00547B1B">
        <w:rPr>
          <w:rFonts w:cstheme="minorHAnsi"/>
          <w:color w:val="FF0000"/>
          <w:w w:val="95"/>
        </w:rPr>
        <w:t xml:space="preserve">, </w:t>
      </w:r>
      <w:r w:rsidRPr="00547B1B">
        <w:rPr>
          <w:rFonts w:cstheme="minorHAnsi"/>
          <w:color w:val="FF0000"/>
          <w:w w:val="95"/>
          <w:u w:val="single"/>
        </w:rPr>
        <w:t>l’Arabie Saoudite</w:t>
      </w:r>
      <w:r w:rsidRPr="00547B1B">
        <w:rPr>
          <w:rFonts w:cstheme="minorHAnsi"/>
          <w:color w:val="FF0000"/>
          <w:w w:val="95"/>
        </w:rPr>
        <w:t xml:space="preserve"> et </w:t>
      </w:r>
      <w:r w:rsidRPr="00547B1B">
        <w:rPr>
          <w:rFonts w:cstheme="minorHAnsi"/>
          <w:color w:val="FF0000"/>
          <w:w w:val="95"/>
          <w:u w:val="single"/>
        </w:rPr>
        <w:t>le Qatar</w:t>
      </w:r>
      <w:r w:rsidRPr="00547B1B">
        <w:rPr>
          <w:rFonts w:cstheme="minorHAnsi"/>
          <w:color w:val="FF0000"/>
          <w:w w:val="95"/>
        </w:rPr>
        <w:t xml:space="preserve"> soutiennent les rebelles syriens financièrement et leurs livrent des armes. Ces derniers souhaitent voir tomber le régime de Damas qui est alaouite, une confession proche du chiisme. Leur idée est de le faire remplacer par un régime sunnite. </w:t>
      </w:r>
    </w:p>
    <w:p w:rsidR="00547B1B" w:rsidRPr="00547B1B" w:rsidRDefault="00547B1B" w:rsidP="00547B1B">
      <w:pPr>
        <w:jc w:val="both"/>
        <w:rPr>
          <w:rFonts w:cstheme="minorHAnsi"/>
          <w:color w:val="FF0000"/>
          <w:w w:val="95"/>
        </w:rPr>
      </w:pPr>
      <w:r w:rsidRPr="00547B1B">
        <w:rPr>
          <w:rFonts w:cstheme="minorHAnsi"/>
          <w:color w:val="FF0000"/>
          <w:w w:val="95"/>
        </w:rPr>
        <w:t xml:space="preserve">La Turquie craint la création d’un grand Kurdistan autonome. </w:t>
      </w:r>
    </w:p>
    <w:p w:rsidR="00547B1B" w:rsidRPr="00547B1B" w:rsidRDefault="00547B1B" w:rsidP="00547B1B">
      <w:pPr>
        <w:jc w:val="both"/>
        <w:rPr>
          <w:rFonts w:cstheme="minorHAnsi"/>
          <w:color w:val="FF0000"/>
          <w:sz w:val="16"/>
        </w:rPr>
      </w:pPr>
      <w:r w:rsidRPr="00547B1B">
        <w:rPr>
          <w:rFonts w:cstheme="minorHAnsi"/>
          <w:color w:val="FF0000"/>
          <w:w w:val="95"/>
        </w:rPr>
        <w:t xml:space="preserve">Les forces rebelles sont soutenues par </w:t>
      </w:r>
      <w:r w:rsidRPr="00547B1B">
        <w:rPr>
          <w:rFonts w:cstheme="minorHAnsi"/>
          <w:color w:val="FF0000"/>
          <w:w w:val="95"/>
          <w:u w:val="single"/>
        </w:rPr>
        <w:t>les Etats-Unis</w:t>
      </w:r>
      <w:r w:rsidRPr="00547B1B">
        <w:rPr>
          <w:rFonts w:cstheme="minorHAnsi"/>
          <w:color w:val="FF0000"/>
          <w:w w:val="95"/>
        </w:rPr>
        <w:t xml:space="preserve"> et </w:t>
      </w:r>
      <w:r w:rsidRPr="00547B1B">
        <w:rPr>
          <w:rFonts w:cstheme="minorHAnsi"/>
          <w:color w:val="FF0000"/>
          <w:w w:val="95"/>
          <w:u w:val="single"/>
        </w:rPr>
        <w:t>les pays européens</w:t>
      </w:r>
      <w:r w:rsidRPr="00547B1B">
        <w:rPr>
          <w:rFonts w:cstheme="minorHAnsi"/>
          <w:color w:val="FF0000"/>
          <w:w w:val="95"/>
        </w:rPr>
        <w:t xml:space="preserve"> qui ont pour ambition, d’une part, d’obtenir une transition politique en Syrie sans </w:t>
      </w:r>
      <w:proofErr w:type="spellStart"/>
      <w:r w:rsidRPr="00547B1B">
        <w:rPr>
          <w:rFonts w:cstheme="minorHAnsi"/>
          <w:color w:val="FF0000"/>
          <w:w w:val="95"/>
        </w:rPr>
        <w:t>Bachar</w:t>
      </w:r>
      <w:proofErr w:type="spellEnd"/>
      <w:r w:rsidRPr="00547B1B">
        <w:rPr>
          <w:rFonts w:cstheme="minorHAnsi"/>
          <w:color w:val="FF0000"/>
          <w:w w:val="95"/>
        </w:rPr>
        <w:t xml:space="preserve"> el-Assad et, d’autre part, empêcher la création d’un véritable Etat par l’EI.</w:t>
      </w:r>
    </w:p>
    <w:p w:rsidR="00547B1B" w:rsidRPr="00547B1B" w:rsidRDefault="00547B1B" w:rsidP="00547B1B">
      <w:pPr>
        <w:jc w:val="both"/>
        <w:rPr>
          <w:rFonts w:cstheme="minorHAnsi"/>
          <w:b/>
          <w:color w:val="FF0000"/>
          <w:w w:val="95"/>
        </w:rPr>
      </w:pPr>
    </w:p>
    <w:p w:rsidR="00547B1B" w:rsidRPr="00547B1B" w:rsidRDefault="00547B1B" w:rsidP="00547B1B">
      <w:pPr>
        <w:pStyle w:val="TableParagraph"/>
        <w:jc w:val="both"/>
        <w:rPr>
          <w:rFonts w:asciiTheme="minorHAnsi" w:hAnsiTheme="minorHAnsi" w:cstheme="minorHAnsi"/>
          <w:color w:val="FF0000"/>
        </w:rPr>
      </w:pPr>
      <w:r w:rsidRPr="00547B1B">
        <w:rPr>
          <w:rFonts w:asciiTheme="minorHAnsi" w:hAnsiTheme="minorHAnsi" w:cstheme="minorHAnsi"/>
          <w:b/>
          <w:color w:val="FF0000"/>
          <w:w w:val="95"/>
        </w:rPr>
        <w:t xml:space="preserve">Acteurs : </w:t>
      </w:r>
      <w:r w:rsidRPr="00547B1B">
        <w:rPr>
          <w:rFonts w:asciiTheme="minorHAnsi" w:hAnsiTheme="minorHAnsi" w:cstheme="minorHAnsi"/>
          <w:color w:val="FF0000"/>
          <w:w w:val="95"/>
          <w:u w:val="single"/>
        </w:rPr>
        <w:t>Les forces kurdes</w:t>
      </w:r>
      <w:r w:rsidRPr="00547B1B">
        <w:rPr>
          <w:rFonts w:asciiTheme="minorHAnsi" w:hAnsiTheme="minorHAnsi" w:cstheme="minorHAnsi"/>
          <w:color w:val="FF0000"/>
          <w:w w:val="95"/>
        </w:rPr>
        <w:t>.</w:t>
      </w:r>
    </w:p>
    <w:p w:rsidR="00547B1B" w:rsidRPr="00547B1B" w:rsidRDefault="00547B1B" w:rsidP="00547B1B">
      <w:pPr>
        <w:pStyle w:val="TableParagraph"/>
        <w:jc w:val="both"/>
        <w:rPr>
          <w:rFonts w:asciiTheme="minorHAnsi" w:hAnsiTheme="minorHAnsi" w:cstheme="minorHAnsi"/>
          <w:b/>
          <w:color w:val="FF0000"/>
        </w:rPr>
      </w:pPr>
      <w:r w:rsidRPr="00547B1B">
        <w:rPr>
          <w:rFonts w:asciiTheme="minorHAnsi" w:hAnsiTheme="minorHAnsi" w:cstheme="minorHAnsi"/>
          <w:b/>
          <w:color w:val="FF0000"/>
          <w:w w:val="95"/>
        </w:rPr>
        <w:t xml:space="preserve">Objectifs : </w:t>
      </w:r>
      <w:r w:rsidRPr="00547B1B">
        <w:rPr>
          <w:rFonts w:asciiTheme="minorHAnsi" w:hAnsiTheme="minorHAnsi" w:cstheme="minorHAnsi"/>
          <w:color w:val="FF0000"/>
          <w:w w:val="95"/>
        </w:rPr>
        <w:t xml:space="preserve">Les kurdes revendiquent un Etat propre au Nord-Est de la Syrie. </w:t>
      </w:r>
    </w:p>
    <w:p w:rsidR="00547B1B" w:rsidRPr="00547B1B" w:rsidRDefault="00547B1B" w:rsidP="00547B1B">
      <w:pPr>
        <w:jc w:val="both"/>
        <w:rPr>
          <w:rFonts w:cstheme="minorHAnsi"/>
          <w:color w:val="FF0000"/>
          <w:w w:val="95"/>
        </w:rPr>
      </w:pPr>
      <w:r w:rsidRPr="00547B1B">
        <w:rPr>
          <w:rFonts w:cstheme="minorHAnsi"/>
          <w:b/>
          <w:color w:val="FF0000"/>
          <w:w w:val="95"/>
        </w:rPr>
        <w:t xml:space="preserve">Alliés : </w:t>
      </w:r>
      <w:r w:rsidRPr="00547B1B">
        <w:rPr>
          <w:rFonts w:cstheme="minorHAnsi"/>
          <w:color w:val="FF0000"/>
          <w:w w:val="95"/>
        </w:rPr>
        <w:t xml:space="preserve">Les kurdes syriens sont soutenus par les forces kurdes éparpillés dans la région, surtout en Turquie avec </w:t>
      </w:r>
      <w:r w:rsidRPr="00547B1B">
        <w:rPr>
          <w:rFonts w:cstheme="minorHAnsi"/>
          <w:color w:val="FF0000"/>
          <w:w w:val="95"/>
          <w:u w:val="single"/>
        </w:rPr>
        <w:t>le PKK</w:t>
      </w:r>
      <w:r w:rsidRPr="00547B1B">
        <w:rPr>
          <w:rFonts w:cstheme="minorHAnsi"/>
          <w:color w:val="FF0000"/>
          <w:w w:val="95"/>
        </w:rPr>
        <w:t xml:space="preserve"> et en Irak dans une moindre mesure avec </w:t>
      </w:r>
      <w:r w:rsidRPr="00547B1B">
        <w:rPr>
          <w:rFonts w:cstheme="minorHAnsi"/>
          <w:color w:val="FF0000"/>
          <w:w w:val="95"/>
          <w:u w:val="single"/>
        </w:rPr>
        <w:t>le PDK</w:t>
      </w:r>
      <w:r w:rsidRPr="00547B1B">
        <w:rPr>
          <w:rFonts w:cstheme="minorHAnsi"/>
          <w:color w:val="FF0000"/>
          <w:w w:val="95"/>
        </w:rPr>
        <w:t>.</w:t>
      </w:r>
    </w:p>
    <w:p w:rsidR="00547B1B" w:rsidRPr="00547B1B" w:rsidRDefault="00547B1B" w:rsidP="00547B1B">
      <w:pPr>
        <w:jc w:val="both"/>
        <w:rPr>
          <w:rFonts w:cstheme="minorHAnsi"/>
          <w:color w:val="FF0000"/>
          <w:sz w:val="16"/>
        </w:rPr>
      </w:pPr>
      <w:r w:rsidRPr="00547B1B">
        <w:rPr>
          <w:rFonts w:cstheme="minorHAnsi"/>
          <w:color w:val="FF0000"/>
          <w:w w:val="95"/>
          <w:u w:val="single"/>
        </w:rPr>
        <w:t>Les Etats-Unis</w:t>
      </w:r>
      <w:r w:rsidRPr="00547B1B">
        <w:rPr>
          <w:rFonts w:cstheme="minorHAnsi"/>
          <w:color w:val="FF0000"/>
          <w:w w:val="95"/>
        </w:rPr>
        <w:t xml:space="preserve"> et </w:t>
      </w:r>
      <w:r w:rsidRPr="00547B1B">
        <w:rPr>
          <w:rFonts w:cstheme="minorHAnsi"/>
          <w:color w:val="FF0000"/>
          <w:w w:val="95"/>
          <w:u w:val="single"/>
        </w:rPr>
        <w:t>les pays européens</w:t>
      </w:r>
      <w:r w:rsidRPr="00547B1B">
        <w:rPr>
          <w:rFonts w:cstheme="minorHAnsi"/>
          <w:color w:val="FF0000"/>
          <w:w w:val="95"/>
        </w:rPr>
        <w:t xml:space="preserve">. </w:t>
      </w:r>
    </w:p>
    <w:p w:rsidR="00547B1B" w:rsidRPr="00547B1B" w:rsidRDefault="00547B1B" w:rsidP="00547B1B">
      <w:pPr>
        <w:pStyle w:val="TableParagraph"/>
        <w:jc w:val="both"/>
        <w:rPr>
          <w:rFonts w:asciiTheme="minorHAnsi" w:hAnsiTheme="minorHAnsi" w:cstheme="minorHAnsi"/>
          <w:b/>
          <w:color w:val="FF0000"/>
          <w:w w:val="95"/>
        </w:rPr>
      </w:pPr>
    </w:p>
    <w:p w:rsidR="00547B1B" w:rsidRPr="00547B1B" w:rsidRDefault="00547B1B" w:rsidP="00547B1B">
      <w:pPr>
        <w:pStyle w:val="TableParagraph"/>
        <w:jc w:val="both"/>
        <w:rPr>
          <w:rFonts w:asciiTheme="minorHAnsi" w:hAnsiTheme="minorHAnsi" w:cstheme="minorHAnsi"/>
          <w:color w:val="FF0000"/>
        </w:rPr>
      </w:pPr>
      <w:r w:rsidRPr="00547B1B">
        <w:rPr>
          <w:rFonts w:asciiTheme="minorHAnsi" w:hAnsiTheme="minorHAnsi" w:cstheme="minorHAnsi"/>
          <w:b/>
          <w:color w:val="FF0000"/>
          <w:w w:val="95"/>
        </w:rPr>
        <w:t xml:space="preserve">Acteurs : </w:t>
      </w:r>
      <w:r w:rsidRPr="00547B1B">
        <w:rPr>
          <w:rFonts w:asciiTheme="minorHAnsi" w:hAnsiTheme="minorHAnsi" w:cstheme="minorHAnsi"/>
          <w:color w:val="FF0000"/>
          <w:w w:val="95"/>
          <w:u w:val="single"/>
        </w:rPr>
        <w:t>L’Etat islamique</w:t>
      </w:r>
      <w:r w:rsidRPr="00547B1B">
        <w:rPr>
          <w:rFonts w:asciiTheme="minorHAnsi" w:hAnsiTheme="minorHAnsi" w:cstheme="minorHAnsi"/>
          <w:color w:val="FF0000"/>
          <w:w w:val="95"/>
        </w:rPr>
        <w:t xml:space="preserve"> qui est une organisation djihadiste. </w:t>
      </w:r>
    </w:p>
    <w:p w:rsidR="00547B1B" w:rsidRPr="00547B1B" w:rsidRDefault="00547B1B" w:rsidP="00547B1B">
      <w:pPr>
        <w:pStyle w:val="TableParagraph"/>
        <w:jc w:val="both"/>
        <w:rPr>
          <w:rFonts w:asciiTheme="minorHAnsi" w:hAnsiTheme="minorHAnsi" w:cstheme="minorHAnsi"/>
          <w:color w:val="FF0000"/>
        </w:rPr>
      </w:pPr>
      <w:r w:rsidRPr="00547B1B">
        <w:rPr>
          <w:rFonts w:asciiTheme="minorHAnsi" w:hAnsiTheme="minorHAnsi" w:cstheme="minorHAnsi"/>
          <w:b/>
          <w:color w:val="FF0000"/>
          <w:w w:val="95"/>
        </w:rPr>
        <w:t xml:space="preserve">Objectifs : </w:t>
      </w:r>
      <w:r w:rsidRPr="00547B1B">
        <w:rPr>
          <w:rFonts w:asciiTheme="minorHAnsi" w:hAnsiTheme="minorHAnsi" w:cstheme="minorHAnsi"/>
          <w:color w:val="FF0000"/>
          <w:w w:val="95"/>
        </w:rPr>
        <w:t xml:space="preserve">Accroitre son influence, créer un Etat. </w:t>
      </w:r>
    </w:p>
    <w:p w:rsidR="00547B1B" w:rsidRPr="00547B1B" w:rsidRDefault="00547B1B" w:rsidP="00547B1B">
      <w:pPr>
        <w:jc w:val="both"/>
        <w:rPr>
          <w:rFonts w:cstheme="minorHAnsi"/>
          <w:b/>
          <w:color w:val="FF0000"/>
          <w:sz w:val="16"/>
        </w:rPr>
      </w:pPr>
      <w:r w:rsidRPr="00547B1B">
        <w:rPr>
          <w:rFonts w:cstheme="minorHAnsi"/>
          <w:b/>
          <w:color w:val="FF0000"/>
          <w:w w:val="95"/>
        </w:rPr>
        <w:t xml:space="preserve">Alliés : </w:t>
      </w:r>
      <w:r w:rsidRPr="00547B1B">
        <w:rPr>
          <w:rFonts w:cstheme="minorHAnsi"/>
          <w:color w:val="FF0000"/>
          <w:w w:val="95"/>
        </w:rPr>
        <w:t xml:space="preserve">/ </w:t>
      </w:r>
    </w:p>
    <w:p w:rsidR="00547B1B" w:rsidRDefault="00547B1B" w:rsidP="00547B1B">
      <w:pPr>
        <w:jc w:val="both"/>
        <w:rPr>
          <w:rFonts w:cstheme="minorHAnsi"/>
          <w:b/>
          <w:sz w:val="16"/>
        </w:rPr>
      </w:pPr>
    </w:p>
    <w:p w:rsidR="00547B1B" w:rsidRDefault="00547B1B" w:rsidP="009862F9">
      <w:pPr>
        <w:tabs>
          <w:tab w:val="left" w:pos="1695"/>
        </w:tabs>
        <w:jc w:val="both"/>
        <w:rPr>
          <w:color w:val="FF0000"/>
        </w:rPr>
      </w:pPr>
    </w:p>
    <w:p w:rsidR="00547B1B" w:rsidRDefault="00547B1B" w:rsidP="009862F9">
      <w:pPr>
        <w:tabs>
          <w:tab w:val="left" w:pos="1695"/>
        </w:tabs>
        <w:jc w:val="both"/>
        <w:rPr>
          <w:color w:val="FF0000"/>
        </w:rPr>
      </w:pPr>
    </w:p>
    <w:p w:rsidR="00547B1B" w:rsidRDefault="00547B1B" w:rsidP="009862F9">
      <w:pPr>
        <w:tabs>
          <w:tab w:val="left" w:pos="1695"/>
        </w:tabs>
        <w:jc w:val="both"/>
        <w:rPr>
          <w:color w:val="FF0000"/>
        </w:rPr>
      </w:pPr>
    </w:p>
    <w:p w:rsidR="00547B1B" w:rsidRDefault="00547B1B" w:rsidP="009862F9">
      <w:pPr>
        <w:tabs>
          <w:tab w:val="left" w:pos="1695"/>
        </w:tabs>
        <w:jc w:val="both"/>
        <w:rPr>
          <w:color w:val="FF0000"/>
        </w:rPr>
      </w:pPr>
    </w:p>
    <w:p w:rsidR="00547B1B" w:rsidRPr="003D6591" w:rsidRDefault="00547B1B" w:rsidP="009862F9">
      <w:pPr>
        <w:tabs>
          <w:tab w:val="left" w:pos="1695"/>
        </w:tabs>
        <w:jc w:val="both"/>
        <w:rPr>
          <w:color w:val="FF0000"/>
        </w:rPr>
      </w:pPr>
    </w:p>
    <w:sectPr w:rsidR="00547B1B" w:rsidRPr="003D6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B5AF0"/>
    <w:multiLevelType w:val="hybridMultilevel"/>
    <w:tmpl w:val="C9F67FEE"/>
    <w:lvl w:ilvl="0" w:tplc="A8E4B3EA">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5D15618"/>
    <w:multiLevelType w:val="hybridMultilevel"/>
    <w:tmpl w:val="9B209366"/>
    <w:lvl w:ilvl="0" w:tplc="A9D4B79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C8"/>
    <w:rsid w:val="0016487C"/>
    <w:rsid w:val="0033374D"/>
    <w:rsid w:val="003B56E3"/>
    <w:rsid w:val="003D6591"/>
    <w:rsid w:val="00547B1B"/>
    <w:rsid w:val="005A2D11"/>
    <w:rsid w:val="005F42BC"/>
    <w:rsid w:val="00656F01"/>
    <w:rsid w:val="009862F9"/>
    <w:rsid w:val="00A27EC8"/>
    <w:rsid w:val="00AA6A3E"/>
    <w:rsid w:val="00AC027D"/>
    <w:rsid w:val="00C80879"/>
    <w:rsid w:val="00CE1B4F"/>
    <w:rsid w:val="00E02A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173E9-1D65-4B65-B9F3-7C1117A8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27D"/>
    <w:pPr>
      <w:spacing w:line="256" w:lineRule="auto"/>
    </w:pPr>
  </w:style>
  <w:style w:type="paragraph" w:styleId="Titre1">
    <w:name w:val="heading 1"/>
    <w:basedOn w:val="Normal"/>
    <w:link w:val="Titre1Car"/>
    <w:uiPriority w:val="1"/>
    <w:qFormat/>
    <w:rsid w:val="00656F01"/>
    <w:pPr>
      <w:widowControl w:val="0"/>
      <w:autoSpaceDE w:val="0"/>
      <w:autoSpaceDN w:val="0"/>
      <w:spacing w:before="47" w:after="0" w:line="240" w:lineRule="auto"/>
      <w:ind w:left="853" w:hanging="361"/>
      <w:outlineLvl w:val="0"/>
    </w:pPr>
    <w:rPr>
      <w:rFonts w:ascii="Arial" w:eastAsia="Arial" w:hAnsi="Arial" w:cs="Arial"/>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C027D"/>
    <w:rPr>
      <w:color w:val="0563C1" w:themeColor="hyperlink"/>
      <w:u w:val="single"/>
    </w:rPr>
  </w:style>
  <w:style w:type="paragraph" w:styleId="Paragraphedeliste">
    <w:name w:val="List Paragraph"/>
    <w:basedOn w:val="Normal"/>
    <w:uiPriority w:val="34"/>
    <w:qFormat/>
    <w:rsid w:val="00AC027D"/>
    <w:pPr>
      <w:ind w:left="720"/>
      <w:contextualSpacing/>
    </w:pPr>
  </w:style>
  <w:style w:type="paragraph" w:customStyle="1" w:styleId="TableParagraph">
    <w:name w:val="Table Paragraph"/>
    <w:basedOn w:val="Normal"/>
    <w:uiPriority w:val="1"/>
    <w:qFormat/>
    <w:rsid w:val="00547B1B"/>
    <w:pPr>
      <w:widowControl w:val="0"/>
      <w:autoSpaceDE w:val="0"/>
      <w:autoSpaceDN w:val="0"/>
      <w:spacing w:after="0" w:line="240" w:lineRule="auto"/>
    </w:pPr>
    <w:rPr>
      <w:rFonts w:ascii="Arial" w:eastAsia="Arial" w:hAnsi="Arial" w:cs="Arial"/>
      <w:lang w:val="fr-FR"/>
    </w:rPr>
  </w:style>
  <w:style w:type="character" w:customStyle="1" w:styleId="Titre1Car">
    <w:name w:val="Titre 1 Car"/>
    <w:basedOn w:val="Policepardfaut"/>
    <w:link w:val="Titre1"/>
    <w:uiPriority w:val="1"/>
    <w:rsid w:val="00656F01"/>
    <w:rPr>
      <w:rFonts w:ascii="Arial" w:eastAsia="Arial" w:hAnsi="Arial" w:cs="Arial"/>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monde.fr/proche-orient/video/2015/10/27/comprendre-la-situation-en-syrie-en-5-minutes_4798012_3218.html" TargetMode="External"/><Relationship Id="rId5" Type="http://schemas.openxmlformats.org/officeDocument/2006/relationships/hyperlink" Target="mailto:monsieur.jriri@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1777</Words>
  <Characters>9776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2020-05-10T14:38:00Z</dcterms:created>
  <dcterms:modified xsi:type="dcterms:W3CDTF">2020-05-20T16:25:00Z</dcterms:modified>
</cp:coreProperties>
</file>